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89996" w14:textId="6AA3979E" w:rsidR="00A11A44" w:rsidRPr="008B23B2" w:rsidRDefault="00A11A44" w:rsidP="00A11A44">
      <w:pPr>
        <w:jc w:val="center"/>
        <w:rPr>
          <w:rFonts w:ascii="Arial" w:hAnsi="Arial" w:cs="Arial"/>
          <w:b/>
          <w:sz w:val="28"/>
          <w:szCs w:val="28"/>
        </w:rPr>
      </w:pPr>
      <w:r w:rsidRPr="008B23B2">
        <w:rPr>
          <w:rFonts w:ascii="Arial" w:hAnsi="Arial" w:cs="Arial"/>
          <w:b/>
          <w:sz w:val="28"/>
          <w:szCs w:val="28"/>
        </w:rPr>
        <w:t xml:space="preserve">Ongoing Compliance Form for </w:t>
      </w:r>
      <w:r w:rsidR="00085AD4" w:rsidRPr="008B23B2">
        <w:rPr>
          <w:rFonts w:ascii="Arial" w:hAnsi="Arial" w:cs="Arial"/>
          <w:b/>
          <w:sz w:val="28"/>
          <w:szCs w:val="28"/>
        </w:rPr>
        <w:t xml:space="preserve">Reporting of </w:t>
      </w:r>
      <w:r w:rsidRPr="008B23B2">
        <w:rPr>
          <w:rFonts w:ascii="Arial" w:hAnsi="Arial" w:cs="Arial"/>
          <w:b/>
          <w:sz w:val="28"/>
          <w:szCs w:val="28"/>
        </w:rPr>
        <w:t>Pricing Errors</w:t>
      </w:r>
    </w:p>
    <w:p w14:paraId="74E9010B" w14:textId="77777777" w:rsidR="00A11A44" w:rsidRPr="008B23B2" w:rsidRDefault="00A11A44" w:rsidP="00A11A44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8954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0"/>
        <w:gridCol w:w="984"/>
      </w:tblGrid>
      <w:tr w:rsidR="00F82FD2" w:rsidRPr="008B23B2" w14:paraId="6D126F40" w14:textId="77777777" w:rsidTr="008B23B2">
        <w:trPr>
          <w:trHeight w:val="480"/>
        </w:trPr>
        <w:tc>
          <w:tcPr>
            <w:tcW w:w="7970" w:type="dxa"/>
          </w:tcPr>
          <w:p w14:paraId="29D9FAA9" w14:textId="77777777" w:rsidR="00F82FD2" w:rsidRPr="008B23B2" w:rsidRDefault="00F82FD2">
            <w:pPr>
              <w:spacing w:before="60" w:after="60"/>
              <w:ind w:left="360" w:hanging="36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4" w:type="dxa"/>
          </w:tcPr>
          <w:p w14:paraId="2A71DC05" w14:textId="77777777" w:rsidR="00F82FD2" w:rsidRPr="008B23B2" w:rsidRDefault="006F4EFB">
            <w:pPr>
              <w:pStyle w:val="Heading2"/>
              <w:rPr>
                <w:rFonts w:ascii="Arial" w:hAnsi="Arial" w:cs="Arial"/>
                <w:szCs w:val="20"/>
              </w:rPr>
            </w:pPr>
            <w:r w:rsidRPr="008B23B2">
              <w:rPr>
                <w:rFonts w:ascii="Arial" w:hAnsi="Arial" w:cs="Arial"/>
                <w:szCs w:val="20"/>
              </w:rPr>
              <w:t>Details</w:t>
            </w:r>
          </w:p>
        </w:tc>
      </w:tr>
      <w:tr w:rsidR="00F82FD2" w:rsidRPr="008B23B2" w14:paraId="1F4E4B34" w14:textId="77777777" w:rsidTr="008B23B2">
        <w:trPr>
          <w:trHeight w:val="520"/>
        </w:trPr>
        <w:tc>
          <w:tcPr>
            <w:tcW w:w="7970" w:type="dxa"/>
          </w:tcPr>
          <w:p w14:paraId="7742D65E" w14:textId="77777777" w:rsidR="00F82FD2" w:rsidRPr="008B23B2" w:rsidRDefault="006F4EFB">
            <w:pPr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3B2">
              <w:rPr>
                <w:rFonts w:ascii="Arial" w:hAnsi="Arial" w:cs="Arial"/>
                <w:sz w:val="20"/>
                <w:szCs w:val="20"/>
              </w:rPr>
              <w:t>Fund(s) affected by pricing error</w:t>
            </w:r>
          </w:p>
        </w:tc>
        <w:tc>
          <w:tcPr>
            <w:tcW w:w="984" w:type="dxa"/>
          </w:tcPr>
          <w:p w14:paraId="5A26D88C" w14:textId="77777777" w:rsidR="00F82FD2" w:rsidRPr="008B23B2" w:rsidRDefault="00F82FD2">
            <w:pPr>
              <w:numPr>
                <w:ilvl w:val="12"/>
                <w:numId w:val="0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FD2" w:rsidRPr="008B23B2" w14:paraId="78334F0A" w14:textId="77777777" w:rsidTr="008B23B2">
        <w:trPr>
          <w:trHeight w:val="520"/>
        </w:trPr>
        <w:tc>
          <w:tcPr>
            <w:tcW w:w="7970" w:type="dxa"/>
          </w:tcPr>
          <w:p w14:paraId="19A7C34A" w14:textId="77777777" w:rsidR="00F82FD2" w:rsidRPr="008B23B2" w:rsidRDefault="006F4EFB">
            <w:pPr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3B2">
              <w:rPr>
                <w:rFonts w:ascii="Arial" w:hAnsi="Arial" w:cs="Arial"/>
                <w:sz w:val="20"/>
                <w:szCs w:val="20"/>
              </w:rPr>
              <w:t>Domicile of the Fund(s)</w:t>
            </w:r>
          </w:p>
        </w:tc>
        <w:tc>
          <w:tcPr>
            <w:tcW w:w="984" w:type="dxa"/>
          </w:tcPr>
          <w:p w14:paraId="53FBA69A" w14:textId="77777777" w:rsidR="00F82FD2" w:rsidRPr="008B23B2" w:rsidRDefault="00F82FD2">
            <w:p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FD2" w:rsidRPr="008B23B2" w14:paraId="382CD282" w14:textId="77777777" w:rsidTr="008B23B2">
        <w:trPr>
          <w:trHeight w:val="520"/>
        </w:trPr>
        <w:tc>
          <w:tcPr>
            <w:tcW w:w="7970" w:type="dxa"/>
          </w:tcPr>
          <w:p w14:paraId="636C1E74" w14:textId="77777777" w:rsidR="00F82FD2" w:rsidRPr="008B23B2" w:rsidRDefault="006F4EFB">
            <w:pPr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3B2">
              <w:rPr>
                <w:rFonts w:ascii="Arial" w:hAnsi="Arial" w:cs="Arial"/>
                <w:sz w:val="20"/>
                <w:szCs w:val="20"/>
              </w:rPr>
              <w:t>Home regulator (if not SFC)</w:t>
            </w:r>
          </w:p>
        </w:tc>
        <w:tc>
          <w:tcPr>
            <w:tcW w:w="984" w:type="dxa"/>
          </w:tcPr>
          <w:p w14:paraId="45D930AA" w14:textId="77777777" w:rsidR="00F82FD2" w:rsidRPr="008B23B2" w:rsidRDefault="00F82FD2">
            <w:p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EC9" w:rsidRPr="008B23B2" w14:paraId="5B49EDF0" w14:textId="77777777" w:rsidTr="008B23B2">
        <w:trPr>
          <w:trHeight w:val="520"/>
        </w:trPr>
        <w:tc>
          <w:tcPr>
            <w:tcW w:w="7970" w:type="dxa"/>
          </w:tcPr>
          <w:p w14:paraId="2A949C85" w14:textId="77777777" w:rsidR="00972EC9" w:rsidRPr="008B23B2" w:rsidRDefault="00972EC9">
            <w:pPr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3B2">
              <w:rPr>
                <w:rFonts w:ascii="Arial" w:hAnsi="Arial" w:cs="Arial"/>
                <w:sz w:val="20"/>
                <w:szCs w:val="20"/>
              </w:rPr>
              <w:t>Investment-linked assurance scheme (ILAS)</w:t>
            </w:r>
          </w:p>
        </w:tc>
        <w:tc>
          <w:tcPr>
            <w:tcW w:w="984" w:type="dxa"/>
          </w:tcPr>
          <w:p w14:paraId="2245653F" w14:textId="77777777" w:rsidR="00972EC9" w:rsidRPr="008B23B2" w:rsidRDefault="00972EC9">
            <w:p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F7" w:rsidRPr="008B23B2" w14:paraId="6CA7DBA7" w14:textId="77777777" w:rsidTr="008B23B2">
        <w:trPr>
          <w:trHeight w:val="520"/>
        </w:trPr>
        <w:tc>
          <w:tcPr>
            <w:tcW w:w="7970" w:type="dxa"/>
          </w:tcPr>
          <w:p w14:paraId="3E39F80A" w14:textId="77777777" w:rsidR="00B36E05" w:rsidRPr="008B23B2" w:rsidRDefault="00972EC9">
            <w:pPr>
              <w:numPr>
                <w:ilvl w:val="0"/>
                <w:numId w:val="2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3B2">
              <w:rPr>
                <w:rFonts w:ascii="Arial" w:hAnsi="Arial" w:cs="Arial"/>
                <w:sz w:val="20"/>
                <w:szCs w:val="20"/>
              </w:rPr>
              <w:t xml:space="preserve">To the management company’s </w:t>
            </w:r>
            <w:r w:rsidR="00F56380" w:rsidRPr="008B23B2">
              <w:rPr>
                <w:rFonts w:ascii="Arial" w:hAnsi="Arial" w:cs="Arial"/>
                <w:sz w:val="20"/>
                <w:szCs w:val="20"/>
              </w:rPr>
              <w:t xml:space="preserve">reasonable </w:t>
            </w:r>
            <w:r w:rsidRPr="008B23B2">
              <w:rPr>
                <w:rFonts w:ascii="Arial" w:hAnsi="Arial" w:cs="Arial"/>
                <w:sz w:val="20"/>
                <w:szCs w:val="20"/>
              </w:rPr>
              <w:t>knowledge, is/are there any investor(s) which is/are insurance company(</w:t>
            </w:r>
            <w:proofErr w:type="spellStart"/>
            <w:r w:rsidRPr="008B23B2">
              <w:rPr>
                <w:rFonts w:ascii="Arial" w:hAnsi="Arial" w:cs="Arial"/>
                <w:sz w:val="20"/>
                <w:szCs w:val="20"/>
              </w:rPr>
              <w:t>ies</w:t>
            </w:r>
            <w:proofErr w:type="spellEnd"/>
            <w:r w:rsidRPr="008B23B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AD4C35" w:rsidRPr="008B23B2">
              <w:rPr>
                <w:rFonts w:ascii="Arial" w:hAnsi="Arial" w:cs="Arial"/>
                <w:sz w:val="20"/>
                <w:szCs w:val="20"/>
              </w:rPr>
              <w:t xml:space="preserve">which is/are issuer(s) of </w:t>
            </w:r>
            <w:r w:rsidRPr="008B23B2">
              <w:rPr>
                <w:rFonts w:ascii="Arial" w:hAnsi="Arial" w:cs="Arial"/>
                <w:sz w:val="20"/>
                <w:szCs w:val="20"/>
              </w:rPr>
              <w:t xml:space="preserve"> SFC-authorized ILAS linked to</w:t>
            </w:r>
            <w:r w:rsidR="00DE1E25" w:rsidRPr="008B23B2">
              <w:rPr>
                <w:rFonts w:ascii="Arial" w:hAnsi="Arial" w:cs="Arial"/>
                <w:sz w:val="20"/>
                <w:szCs w:val="20"/>
              </w:rPr>
              <w:t xml:space="preserve"> the performance of the Fund(s)</w:t>
            </w:r>
            <w:r w:rsidR="004672EE" w:rsidRPr="008B23B2">
              <w:rPr>
                <w:rFonts w:ascii="Arial" w:hAnsi="Arial" w:cs="Arial"/>
                <w:sz w:val="20"/>
                <w:szCs w:val="20"/>
                <w:vertAlign w:val="superscript"/>
              </w:rPr>
              <w:t>(note 1</w:t>
            </w:r>
            <w:r w:rsidR="00F56380" w:rsidRPr="008B23B2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  <w:p w14:paraId="50ED6808" w14:textId="77777777" w:rsidR="00B36E05" w:rsidRPr="008B23B2" w:rsidRDefault="00B222B1">
            <w:pPr>
              <w:numPr>
                <w:ilvl w:val="0"/>
                <w:numId w:val="2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3B2">
              <w:rPr>
                <w:rFonts w:ascii="Arial" w:hAnsi="Arial" w:cs="Arial"/>
                <w:sz w:val="20"/>
                <w:szCs w:val="20"/>
              </w:rPr>
              <w:t>Name(s)</w:t>
            </w:r>
            <w:r w:rsidR="00972EC9" w:rsidRPr="008B23B2">
              <w:rPr>
                <w:rFonts w:ascii="Arial" w:hAnsi="Arial" w:cs="Arial"/>
                <w:sz w:val="20"/>
                <w:szCs w:val="20"/>
              </w:rPr>
              <w:t xml:space="preserve"> of the ILAS</w:t>
            </w:r>
            <w:r w:rsidR="00F56380" w:rsidRPr="008B23B2">
              <w:rPr>
                <w:rFonts w:ascii="Arial" w:hAnsi="Arial" w:cs="Arial"/>
                <w:sz w:val="20"/>
                <w:szCs w:val="20"/>
              </w:rPr>
              <w:t>/ILAS issuer (if known)</w:t>
            </w:r>
          </w:p>
        </w:tc>
        <w:tc>
          <w:tcPr>
            <w:tcW w:w="984" w:type="dxa"/>
          </w:tcPr>
          <w:p w14:paraId="3EBCD0ED" w14:textId="77777777" w:rsidR="00B94CF7" w:rsidRPr="008B23B2" w:rsidRDefault="00B94CF7">
            <w:p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FD2" w:rsidRPr="008B23B2" w14:paraId="5F71AFA1" w14:textId="77777777" w:rsidTr="008B23B2">
        <w:trPr>
          <w:trHeight w:val="520"/>
        </w:trPr>
        <w:tc>
          <w:tcPr>
            <w:tcW w:w="7970" w:type="dxa"/>
          </w:tcPr>
          <w:p w14:paraId="7EA28169" w14:textId="77777777" w:rsidR="00F82FD2" w:rsidRPr="008B23B2" w:rsidRDefault="006F4EFB">
            <w:pPr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3B2">
              <w:rPr>
                <w:rFonts w:ascii="Arial" w:hAnsi="Arial" w:cs="Arial"/>
                <w:sz w:val="20"/>
                <w:szCs w:val="20"/>
              </w:rPr>
              <w:t>Description of the error (overvalued/undervalued)</w:t>
            </w:r>
          </w:p>
        </w:tc>
        <w:tc>
          <w:tcPr>
            <w:tcW w:w="984" w:type="dxa"/>
          </w:tcPr>
          <w:p w14:paraId="3B4BA124" w14:textId="77777777" w:rsidR="00F82FD2" w:rsidRPr="008B23B2" w:rsidRDefault="00F82FD2">
            <w:p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FD2" w:rsidRPr="008B23B2" w14:paraId="58031DEF" w14:textId="77777777" w:rsidTr="008B23B2">
        <w:trPr>
          <w:trHeight w:val="520"/>
        </w:trPr>
        <w:tc>
          <w:tcPr>
            <w:tcW w:w="7970" w:type="dxa"/>
          </w:tcPr>
          <w:p w14:paraId="276B8D41" w14:textId="77777777" w:rsidR="00F82FD2" w:rsidRPr="008B23B2" w:rsidRDefault="006F4EFB">
            <w:pPr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3B2">
              <w:rPr>
                <w:rFonts w:ascii="Arial" w:hAnsi="Arial" w:cs="Arial"/>
                <w:sz w:val="20"/>
                <w:szCs w:val="20"/>
              </w:rPr>
              <w:t>Magnitude of error (% NAV)</w:t>
            </w:r>
          </w:p>
        </w:tc>
        <w:tc>
          <w:tcPr>
            <w:tcW w:w="984" w:type="dxa"/>
          </w:tcPr>
          <w:p w14:paraId="6416C151" w14:textId="77777777" w:rsidR="00F82FD2" w:rsidRPr="008B23B2" w:rsidRDefault="00F82FD2">
            <w:p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FD2" w:rsidRPr="008B23B2" w14:paraId="726938DC" w14:textId="77777777" w:rsidTr="008B23B2">
        <w:trPr>
          <w:trHeight w:val="520"/>
        </w:trPr>
        <w:tc>
          <w:tcPr>
            <w:tcW w:w="7970" w:type="dxa"/>
          </w:tcPr>
          <w:p w14:paraId="0AA04E0B" w14:textId="77777777" w:rsidR="00F82FD2" w:rsidRPr="008B23B2" w:rsidRDefault="006F4EFB">
            <w:pPr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3B2">
              <w:rPr>
                <w:rFonts w:ascii="Arial" w:hAnsi="Arial" w:cs="Arial"/>
                <w:sz w:val="20"/>
                <w:szCs w:val="20"/>
              </w:rPr>
              <w:t>Duration of the error (time period)</w:t>
            </w:r>
          </w:p>
        </w:tc>
        <w:tc>
          <w:tcPr>
            <w:tcW w:w="984" w:type="dxa"/>
          </w:tcPr>
          <w:p w14:paraId="42DEA4E8" w14:textId="77777777" w:rsidR="00F82FD2" w:rsidRPr="008B23B2" w:rsidRDefault="00F82FD2">
            <w:pPr>
              <w:numPr>
                <w:ilvl w:val="12"/>
                <w:numId w:val="0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FD2" w:rsidRPr="008B23B2" w14:paraId="2DC4A075" w14:textId="77777777" w:rsidTr="008B23B2">
        <w:trPr>
          <w:trHeight w:val="520"/>
        </w:trPr>
        <w:tc>
          <w:tcPr>
            <w:tcW w:w="7970" w:type="dxa"/>
          </w:tcPr>
          <w:p w14:paraId="49B7554B" w14:textId="77777777" w:rsidR="00F82FD2" w:rsidRPr="008B23B2" w:rsidRDefault="006F4EFB">
            <w:pPr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3B2">
              <w:rPr>
                <w:rFonts w:ascii="Arial" w:hAnsi="Arial" w:cs="Arial"/>
                <w:sz w:val="20"/>
                <w:szCs w:val="20"/>
              </w:rPr>
              <w:t>Detailed reasons for pricing error</w:t>
            </w:r>
          </w:p>
        </w:tc>
        <w:tc>
          <w:tcPr>
            <w:tcW w:w="984" w:type="dxa"/>
          </w:tcPr>
          <w:p w14:paraId="19500460" w14:textId="77777777" w:rsidR="00F82FD2" w:rsidRPr="008B23B2" w:rsidRDefault="00F82FD2">
            <w:p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FD2" w:rsidRPr="008B23B2" w14:paraId="5438AB2C" w14:textId="77777777" w:rsidTr="008B23B2">
        <w:trPr>
          <w:trHeight w:val="520"/>
        </w:trPr>
        <w:tc>
          <w:tcPr>
            <w:tcW w:w="7970" w:type="dxa"/>
          </w:tcPr>
          <w:p w14:paraId="6B4C6A37" w14:textId="77777777" w:rsidR="00F82FD2" w:rsidRPr="008B23B2" w:rsidRDefault="006F4EFB">
            <w:pPr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3B2">
              <w:rPr>
                <w:rFonts w:ascii="Arial" w:hAnsi="Arial" w:cs="Arial"/>
                <w:sz w:val="20"/>
                <w:szCs w:val="20"/>
              </w:rPr>
              <w:t>Parties responsible</w:t>
            </w:r>
          </w:p>
        </w:tc>
        <w:tc>
          <w:tcPr>
            <w:tcW w:w="984" w:type="dxa"/>
          </w:tcPr>
          <w:p w14:paraId="6D93A548" w14:textId="77777777" w:rsidR="00F82FD2" w:rsidRPr="008B23B2" w:rsidRDefault="00F82FD2">
            <w:pPr>
              <w:spacing w:before="120" w:after="12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FD2" w:rsidRPr="008B23B2" w14:paraId="305F827E" w14:textId="77777777" w:rsidTr="008B23B2">
        <w:trPr>
          <w:trHeight w:val="520"/>
        </w:trPr>
        <w:tc>
          <w:tcPr>
            <w:tcW w:w="7970" w:type="dxa"/>
          </w:tcPr>
          <w:p w14:paraId="1D0BA61B" w14:textId="77777777" w:rsidR="00F82FD2" w:rsidRPr="008B23B2" w:rsidRDefault="006F4EFB">
            <w:pPr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3B2">
              <w:rPr>
                <w:rFonts w:ascii="Arial" w:hAnsi="Arial" w:cs="Arial"/>
                <w:sz w:val="20"/>
                <w:szCs w:val="20"/>
              </w:rPr>
              <w:t>How the error was discovered? When?</w:t>
            </w:r>
          </w:p>
        </w:tc>
        <w:tc>
          <w:tcPr>
            <w:tcW w:w="984" w:type="dxa"/>
          </w:tcPr>
          <w:p w14:paraId="62F01B98" w14:textId="77777777" w:rsidR="00F82FD2" w:rsidRPr="008B23B2" w:rsidRDefault="00F82FD2">
            <w:pPr>
              <w:numPr>
                <w:ilvl w:val="12"/>
                <w:numId w:val="0"/>
              </w:numPr>
              <w:spacing w:before="120" w:after="12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FD2" w:rsidRPr="008B23B2" w14:paraId="134835C7" w14:textId="77777777" w:rsidTr="008B23B2">
        <w:trPr>
          <w:trHeight w:val="520"/>
        </w:trPr>
        <w:tc>
          <w:tcPr>
            <w:tcW w:w="7970" w:type="dxa"/>
          </w:tcPr>
          <w:p w14:paraId="5B1DE14E" w14:textId="77777777" w:rsidR="00F82FD2" w:rsidRPr="008B23B2" w:rsidRDefault="006F4EFB">
            <w:pPr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3B2">
              <w:rPr>
                <w:rFonts w:ascii="Arial" w:hAnsi="Arial" w:cs="Arial"/>
                <w:color w:val="000000"/>
                <w:sz w:val="20"/>
                <w:szCs w:val="20"/>
              </w:rPr>
              <w:t>Total no. of subscribing investors during the period</w:t>
            </w:r>
            <w:r w:rsidR="00F56380" w:rsidRPr="008B23B2">
              <w:rPr>
                <w:rFonts w:ascii="Arial" w:hAnsi="Arial" w:cs="Arial"/>
                <w:sz w:val="20"/>
                <w:szCs w:val="20"/>
                <w:vertAlign w:val="superscript"/>
              </w:rPr>
              <w:t>(notes 1 and 2)</w:t>
            </w:r>
          </w:p>
        </w:tc>
        <w:tc>
          <w:tcPr>
            <w:tcW w:w="984" w:type="dxa"/>
          </w:tcPr>
          <w:p w14:paraId="24595CC2" w14:textId="77777777" w:rsidR="00F82FD2" w:rsidRPr="008B23B2" w:rsidRDefault="00F82FD2">
            <w:pPr>
              <w:numPr>
                <w:ilvl w:val="12"/>
                <w:numId w:val="0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FD2" w:rsidRPr="008B23B2" w14:paraId="61ECCFB5" w14:textId="77777777" w:rsidTr="008B23B2">
        <w:trPr>
          <w:trHeight w:val="520"/>
        </w:trPr>
        <w:tc>
          <w:tcPr>
            <w:tcW w:w="7970" w:type="dxa"/>
          </w:tcPr>
          <w:p w14:paraId="5443C8B7" w14:textId="77777777" w:rsidR="00F82FD2" w:rsidRPr="008B23B2" w:rsidRDefault="006F4EFB">
            <w:pPr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3B2">
              <w:rPr>
                <w:rFonts w:ascii="Arial" w:hAnsi="Arial" w:cs="Arial"/>
                <w:color w:val="000000"/>
                <w:sz w:val="20"/>
                <w:szCs w:val="20"/>
              </w:rPr>
              <w:t>Total no. of HK investors having subscribed during the period</w:t>
            </w:r>
            <w:r w:rsidR="00F56380" w:rsidRPr="008B23B2">
              <w:rPr>
                <w:rFonts w:ascii="Arial" w:hAnsi="Arial" w:cs="Arial"/>
                <w:sz w:val="20"/>
                <w:szCs w:val="20"/>
                <w:vertAlign w:val="superscript"/>
              </w:rPr>
              <w:t>(notes 1 and 2)</w:t>
            </w:r>
          </w:p>
        </w:tc>
        <w:tc>
          <w:tcPr>
            <w:tcW w:w="984" w:type="dxa"/>
          </w:tcPr>
          <w:p w14:paraId="477801E0" w14:textId="77777777" w:rsidR="00F82FD2" w:rsidRPr="008B23B2" w:rsidRDefault="00F82FD2">
            <w:pPr>
              <w:numPr>
                <w:ilvl w:val="12"/>
                <w:numId w:val="0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FD2" w:rsidRPr="008B23B2" w14:paraId="1F5C70F4" w14:textId="77777777" w:rsidTr="008B23B2">
        <w:trPr>
          <w:trHeight w:val="520"/>
        </w:trPr>
        <w:tc>
          <w:tcPr>
            <w:tcW w:w="7970" w:type="dxa"/>
          </w:tcPr>
          <w:p w14:paraId="54E92AB8" w14:textId="77777777" w:rsidR="004672EE" w:rsidRPr="008B23B2" w:rsidRDefault="006F4EFB">
            <w:pPr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3B2">
              <w:rPr>
                <w:rFonts w:ascii="Arial" w:hAnsi="Arial" w:cs="Arial"/>
                <w:color w:val="000000"/>
                <w:sz w:val="20"/>
                <w:szCs w:val="20"/>
              </w:rPr>
              <w:t>Total no. of redeeming investors during the period</w:t>
            </w:r>
            <w:r w:rsidR="00F56380" w:rsidRPr="008B23B2">
              <w:rPr>
                <w:rFonts w:ascii="Arial" w:hAnsi="Arial" w:cs="Arial"/>
                <w:sz w:val="20"/>
                <w:szCs w:val="20"/>
                <w:vertAlign w:val="superscript"/>
              </w:rPr>
              <w:t>(notes 1 and 2)</w:t>
            </w:r>
          </w:p>
        </w:tc>
        <w:tc>
          <w:tcPr>
            <w:tcW w:w="984" w:type="dxa"/>
          </w:tcPr>
          <w:p w14:paraId="1018B821" w14:textId="77777777" w:rsidR="00F82FD2" w:rsidRPr="008B23B2" w:rsidRDefault="00F82FD2">
            <w:pPr>
              <w:numPr>
                <w:ilvl w:val="12"/>
                <w:numId w:val="0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FD2" w:rsidRPr="008B23B2" w14:paraId="0B4D5511" w14:textId="77777777" w:rsidTr="008B23B2">
        <w:trPr>
          <w:trHeight w:val="520"/>
        </w:trPr>
        <w:tc>
          <w:tcPr>
            <w:tcW w:w="7970" w:type="dxa"/>
          </w:tcPr>
          <w:p w14:paraId="38660580" w14:textId="77777777" w:rsidR="004672EE" w:rsidRPr="008B23B2" w:rsidRDefault="006F4EFB">
            <w:pPr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3B2">
              <w:rPr>
                <w:rFonts w:ascii="Arial" w:hAnsi="Arial" w:cs="Arial"/>
                <w:color w:val="000000"/>
                <w:sz w:val="20"/>
                <w:szCs w:val="20"/>
              </w:rPr>
              <w:t>Total no. of HK investors having redeemed during the period</w:t>
            </w:r>
            <w:r w:rsidR="00F56380" w:rsidRPr="008B23B2">
              <w:rPr>
                <w:rFonts w:ascii="Arial" w:hAnsi="Arial" w:cs="Arial"/>
                <w:sz w:val="20"/>
                <w:szCs w:val="20"/>
                <w:vertAlign w:val="superscript"/>
              </w:rPr>
              <w:t>(notes 1 and 2)</w:t>
            </w:r>
          </w:p>
        </w:tc>
        <w:tc>
          <w:tcPr>
            <w:tcW w:w="984" w:type="dxa"/>
          </w:tcPr>
          <w:p w14:paraId="3CEDD691" w14:textId="77777777" w:rsidR="00F82FD2" w:rsidRPr="008B23B2" w:rsidRDefault="00F82FD2">
            <w:pPr>
              <w:numPr>
                <w:ilvl w:val="12"/>
                <w:numId w:val="0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FD2" w:rsidRPr="008B23B2" w14:paraId="1A159F13" w14:textId="77777777" w:rsidTr="008B23B2">
        <w:trPr>
          <w:trHeight w:val="520"/>
        </w:trPr>
        <w:tc>
          <w:tcPr>
            <w:tcW w:w="7970" w:type="dxa"/>
          </w:tcPr>
          <w:p w14:paraId="30C51F3B" w14:textId="77777777" w:rsidR="00F82FD2" w:rsidRPr="008B23B2" w:rsidRDefault="006F4EFB">
            <w:pPr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3B2">
              <w:rPr>
                <w:rFonts w:ascii="Arial" w:hAnsi="Arial" w:cs="Arial"/>
                <w:sz w:val="20"/>
                <w:szCs w:val="20"/>
              </w:rPr>
              <w:t>Compensation required? (Y/N)</w:t>
            </w:r>
            <w:r w:rsidR="00491C07" w:rsidRPr="008B23B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(note 1)</w:t>
            </w:r>
          </w:p>
        </w:tc>
        <w:tc>
          <w:tcPr>
            <w:tcW w:w="984" w:type="dxa"/>
          </w:tcPr>
          <w:p w14:paraId="154BDACD" w14:textId="77777777" w:rsidR="00F82FD2" w:rsidRPr="008B23B2" w:rsidRDefault="00F82FD2">
            <w:p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FD2" w:rsidRPr="008B23B2" w14:paraId="01D3A5A0" w14:textId="77777777" w:rsidTr="008B23B2">
        <w:trPr>
          <w:trHeight w:val="520"/>
        </w:trPr>
        <w:tc>
          <w:tcPr>
            <w:tcW w:w="7970" w:type="dxa"/>
          </w:tcPr>
          <w:p w14:paraId="4A846302" w14:textId="77777777" w:rsidR="00F82FD2" w:rsidRPr="008B23B2" w:rsidRDefault="006F4EFB">
            <w:pPr>
              <w:numPr>
                <w:ilvl w:val="0"/>
                <w:numId w:val="2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3B2">
              <w:rPr>
                <w:rFonts w:ascii="Arial" w:hAnsi="Arial" w:cs="Arial"/>
                <w:sz w:val="20"/>
                <w:szCs w:val="20"/>
              </w:rPr>
              <w:t>Amount of compensation paid to investors and of which, amount paid to HK investors</w:t>
            </w:r>
          </w:p>
          <w:p w14:paraId="53D72C07" w14:textId="77777777" w:rsidR="003A4D40" w:rsidRPr="008B23B2" w:rsidRDefault="006F4EFB" w:rsidP="00C922C7">
            <w:pPr>
              <w:numPr>
                <w:ilvl w:val="0"/>
                <w:numId w:val="2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3B2">
              <w:rPr>
                <w:rFonts w:ascii="Arial" w:hAnsi="Arial" w:cs="Arial"/>
                <w:sz w:val="20"/>
                <w:szCs w:val="20"/>
              </w:rPr>
              <w:t>Who pays for the compensation</w:t>
            </w:r>
          </w:p>
        </w:tc>
        <w:tc>
          <w:tcPr>
            <w:tcW w:w="984" w:type="dxa"/>
          </w:tcPr>
          <w:p w14:paraId="00C0DC64" w14:textId="77777777" w:rsidR="00F82FD2" w:rsidRPr="008B23B2" w:rsidRDefault="00F82FD2">
            <w:p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FD2" w:rsidRPr="008B23B2" w14:paraId="729A9F22" w14:textId="77777777" w:rsidTr="008B23B2">
        <w:trPr>
          <w:trHeight w:val="520"/>
        </w:trPr>
        <w:tc>
          <w:tcPr>
            <w:tcW w:w="7970" w:type="dxa"/>
          </w:tcPr>
          <w:p w14:paraId="2F858E92" w14:textId="77777777" w:rsidR="00F82FD2" w:rsidRPr="008B23B2" w:rsidRDefault="006F4EFB">
            <w:pPr>
              <w:numPr>
                <w:ilvl w:val="0"/>
                <w:numId w:val="2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3B2">
              <w:rPr>
                <w:rFonts w:ascii="Arial" w:hAnsi="Arial" w:cs="Arial"/>
                <w:sz w:val="20"/>
                <w:szCs w:val="20"/>
              </w:rPr>
              <w:t>Amount of compensation paid to the Fund</w:t>
            </w:r>
          </w:p>
          <w:p w14:paraId="31BB32CB" w14:textId="77777777" w:rsidR="00F82FD2" w:rsidRPr="008B23B2" w:rsidRDefault="006F4EFB">
            <w:pPr>
              <w:numPr>
                <w:ilvl w:val="0"/>
                <w:numId w:val="2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3B2">
              <w:rPr>
                <w:rFonts w:ascii="Arial" w:hAnsi="Arial" w:cs="Arial"/>
                <w:sz w:val="20"/>
                <w:szCs w:val="20"/>
              </w:rPr>
              <w:t>Who pays for the compensation</w:t>
            </w:r>
          </w:p>
        </w:tc>
        <w:tc>
          <w:tcPr>
            <w:tcW w:w="984" w:type="dxa"/>
          </w:tcPr>
          <w:p w14:paraId="75986654" w14:textId="77777777" w:rsidR="00F82FD2" w:rsidRPr="008B23B2" w:rsidRDefault="00F82FD2">
            <w:pPr>
              <w:numPr>
                <w:ilvl w:val="12"/>
                <w:numId w:val="0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FD2" w:rsidRPr="008B23B2" w14:paraId="37415ACC" w14:textId="77777777" w:rsidTr="008B23B2">
        <w:trPr>
          <w:trHeight w:val="520"/>
        </w:trPr>
        <w:tc>
          <w:tcPr>
            <w:tcW w:w="7970" w:type="dxa"/>
          </w:tcPr>
          <w:p w14:paraId="30D7D244" w14:textId="77777777" w:rsidR="00F82FD2" w:rsidRPr="008B23B2" w:rsidRDefault="006F4EFB">
            <w:pPr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3B2">
              <w:rPr>
                <w:rFonts w:ascii="Arial" w:hAnsi="Arial" w:cs="Arial"/>
                <w:sz w:val="20"/>
                <w:szCs w:val="20"/>
              </w:rPr>
              <w:lastRenderedPageBreak/>
              <w:t>Calculation of compensation attached? (Y/N)</w:t>
            </w:r>
          </w:p>
        </w:tc>
        <w:tc>
          <w:tcPr>
            <w:tcW w:w="984" w:type="dxa"/>
          </w:tcPr>
          <w:p w14:paraId="62AA385E" w14:textId="77777777" w:rsidR="00F82FD2" w:rsidRPr="008B23B2" w:rsidRDefault="00F82FD2">
            <w:pPr>
              <w:numPr>
                <w:ilvl w:val="12"/>
                <w:numId w:val="0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FD2" w:rsidRPr="008B23B2" w14:paraId="580AEE6F" w14:textId="77777777" w:rsidTr="008B23B2">
        <w:trPr>
          <w:trHeight w:val="520"/>
        </w:trPr>
        <w:tc>
          <w:tcPr>
            <w:tcW w:w="7970" w:type="dxa"/>
          </w:tcPr>
          <w:p w14:paraId="6145061F" w14:textId="77777777" w:rsidR="00F82FD2" w:rsidRPr="008B23B2" w:rsidRDefault="006F4EFB">
            <w:pPr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3B2">
              <w:rPr>
                <w:rFonts w:ascii="Arial" w:hAnsi="Arial" w:cs="Arial"/>
                <w:sz w:val="20"/>
                <w:szCs w:val="20"/>
              </w:rPr>
              <w:t>Copy of trustee/custodian’s written consent to compensation attached? (Y/N)</w:t>
            </w:r>
          </w:p>
        </w:tc>
        <w:tc>
          <w:tcPr>
            <w:tcW w:w="984" w:type="dxa"/>
          </w:tcPr>
          <w:p w14:paraId="3008AE13" w14:textId="77777777" w:rsidR="00F82FD2" w:rsidRPr="008B23B2" w:rsidRDefault="00F82FD2">
            <w:pPr>
              <w:numPr>
                <w:ilvl w:val="12"/>
                <w:numId w:val="0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FD2" w:rsidRPr="008B23B2" w14:paraId="4B7A06B9" w14:textId="77777777" w:rsidTr="008B23B2">
        <w:trPr>
          <w:trHeight w:val="520"/>
        </w:trPr>
        <w:tc>
          <w:tcPr>
            <w:tcW w:w="7970" w:type="dxa"/>
          </w:tcPr>
          <w:p w14:paraId="366A08DE" w14:textId="77777777" w:rsidR="00F82FD2" w:rsidRPr="008B23B2" w:rsidRDefault="006F4EFB">
            <w:pPr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3B2">
              <w:rPr>
                <w:rFonts w:ascii="Arial" w:hAnsi="Arial" w:cs="Arial"/>
                <w:sz w:val="20"/>
                <w:szCs w:val="20"/>
              </w:rPr>
              <w:t>Bilingual Notice to investors attached? (Y/N)</w:t>
            </w:r>
          </w:p>
        </w:tc>
        <w:tc>
          <w:tcPr>
            <w:tcW w:w="984" w:type="dxa"/>
          </w:tcPr>
          <w:p w14:paraId="1CE2FFBF" w14:textId="77777777" w:rsidR="00F82FD2" w:rsidRPr="008B23B2" w:rsidRDefault="00F82FD2">
            <w:pPr>
              <w:numPr>
                <w:ilvl w:val="12"/>
                <w:numId w:val="0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FD2" w:rsidRPr="008B23B2" w14:paraId="7EDD2E89" w14:textId="77777777" w:rsidTr="008B23B2">
        <w:trPr>
          <w:trHeight w:val="705"/>
        </w:trPr>
        <w:tc>
          <w:tcPr>
            <w:tcW w:w="7970" w:type="dxa"/>
          </w:tcPr>
          <w:p w14:paraId="2360B3DC" w14:textId="77777777" w:rsidR="00F82FD2" w:rsidRPr="008B23B2" w:rsidRDefault="006F4EFB">
            <w:pPr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3B2">
              <w:rPr>
                <w:rFonts w:ascii="Arial" w:hAnsi="Arial" w:cs="Arial"/>
                <w:sz w:val="20"/>
                <w:szCs w:val="20"/>
              </w:rPr>
              <w:t>Any internal investigation &amp; measures to prevent similar incident? (Y/N)</w:t>
            </w:r>
          </w:p>
        </w:tc>
        <w:tc>
          <w:tcPr>
            <w:tcW w:w="984" w:type="dxa"/>
          </w:tcPr>
          <w:p w14:paraId="4FE0D1CB" w14:textId="77777777" w:rsidR="00F82FD2" w:rsidRPr="008B23B2" w:rsidRDefault="00F82FD2">
            <w:p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FD2" w:rsidRPr="008B23B2" w14:paraId="278D7D95" w14:textId="77777777" w:rsidTr="008B23B2">
        <w:trPr>
          <w:trHeight w:val="520"/>
        </w:trPr>
        <w:tc>
          <w:tcPr>
            <w:tcW w:w="7970" w:type="dxa"/>
          </w:tcPr>
          <w:p w14:paraId="064F3D27" w14:textId="77777777" w:rsidR="00F82FD2" w:rsidRPr="008B23B2" w:rsidRDefault="006F4EFB">
            <w:pPr>
              <w:numPr>
                <w:ilvl w:val="0"/>
                <w:numId w:val="2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3B2">
              <w:rPr>
                <w:rFonts w:ascii="Arial" w:hAnsi="Arial" w:cs="Arial"/>
                <w:sz w:val="20"/>
                <w:szCs w:val="20"/>
              </w:rPr>
              <w:t>Actions taken, or to be taken to deal with or improve internal controls</w:t>
            </w:r>
          </w:p>
        </w:tc>
        <w:tc>
          <w:tcPr>
            <w:tcW w:w="984" w:type="dxa"/>
          </w:tcPr>
          <w:p w14:paraId="28E9AC8E" w14:textId="77777777" w:rsidR="00F82FD2" w:rsidRPr="008B23B2" w:rsidRDefault="00F82FD2">
            <w:pPr>
              <w:numPr>
                <w:ilvl w:val="12"/>
                <w:numId w:val="0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FD2" w:rsidRPr="008B23B2" w14:paraId="2214508E" w14:textId="77777777" w:rsidTr="008B23B2">
        <w:trPr>
          <w:trHeight w:val="520"/>
        </w:trPr>
        <w:tc>
          <w:tcPr>
            <w:tcW w:w="7970" w:type="dxa"/>
          </w:tcPr>
          <w:p w14:paraId="7A17873B" w14:textId="77777777" w:rsidR="00F82FD2" w:rsidRPr="008B23B2" w:rsidRDefault="006F4EFB">
            <w:pPr>
              <w:numPr>
                <w:ilvl w:val="0"/>
                <w:numId w:val="2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3B2">
              <w:rPr>
                <w:rFonts w:ascii="Arial" w:hAnsi="Arial" w:cs="Arial"/>
                <w:sz w:val="20"/>
                <w:szCs w:val="20"/>
              </w:rPr>
              <w:t>Are there any misconduct/disciplinary issues concerning the responsible entity and staff?</w:t>
            </w:r>
          </w:p>
        </w:tc>
        <w:tc>
          <w:tcPr>
            <w:tcW w:w="984" w:type="dxa"/>
          </w:tcPr>
          <w:p w14:paraId="73ABD4EC" w14:textId="77777777" w:rsidR="00F82FD2" w:rsidRPr="008B23B2" w:rsidRDefault="00F82FD2">
            <w:p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FD2" w:rsidRPr="008B23B2" w14:paraId="57046023" w14:textId="77777777" w:rsidTr="008B23B2">
        <w:trPr>
          <w:trHeight w:val="520"/>
        </w:trPr>
        <w:tc>
          <w:tcPr>
            <w:tcW w:w="7970" w:type="dxa"/>
          </w:tcPr>
          <w:p w14:paraId="006323F1" w14:textId="77777777" w:rsidR="00F82FD2" w:rsidRPr="008B23B2" w:rsidRDefault="006F4EFB">
            <w:pPr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3B2">
              <w:rPr>
                <w:rFonts w:ascii="Arial" w:hAnsi="Arial" w:cs="Arial"/>
                <w:sz w:val="20"/>
                <w:szCs w:val="20"/>
              </w:rPr>
              <w:t>Investigation by other regulatory bodies (if any)</w:t>
            </w:r>
          </w:p>
        </w:tc>
        <w:tc>
          <w:tcPr>
            <w:tcW w:w="984" w:type="dxa"/>
          </w:tcPr>
          <w:p w14:paraId="76668B8C" w14:textId="77777777" w:rsidR="00F82FD2" w:rsidRPr="008B23B2" w:rsidRDefault="00F82FD2">
            <w:pPr>
              <w:pStyle w:val="Heading1"/>
              <w:rPr>
                <w:rFonts w:ascii="Arial" w:hAnsi="Arial" w:cs="Arial"/>
                <w:b w:val="0"/>
                <w:szCs w:val="20"/>
              </w:rPr>
            </w:pPr>
          </w:p>
        </w:tc>
      </w:tr>
      <w:tr w:rsidR="00F82FD2" w:rsidRPr="008B23B2" w14:paraId="11C18CA8" w14:textId="77777777" w:rsidTr="008B23B2">
        <w:trPr>
          <w:trHeight w:val="520"/>
        </w:trPr>
        <w:tc>
          <w:tcPr>
            <w:tcW w:w="7970" w:type="dxa"/>
          </w:tcPr>
          <w:p w14:paraId="5DE904B1" w14:textId="77777777" w:rsidR="00F82FD2" w:rsidRPr="008B23B2" w:rsidRDefault="006F4EFB">
            <w:pPr>
              <w:numPr>
                <w:ilvl w:val="0"/>
                <w:numId w:val="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23B2">
              <w:rPr>
                <w:rFonts w:ascii="Arial" w:hAnsi="Arial" w:cs="Arial"/>
                <w:sz w:val="20"/>
                <w:szCs w:val="20"/>
              </w:rPr>
              <w:t>Other issues (if any)</w:t>
            </w:r>
          </w:p>
        </w:tc>
        <w:tc>
          <w:tcPr>
            <w:tcW w:w="984" w:type="dxa"/>
          </w:tcPr>
          <w:p w14:paraId="4F65DC4E" w14:textId="77777777" w:rsidR="00F82FD2" w:rsidRPr="008B23B2" w:rsidRDefault="00F82FD2">
            <w:pPr>
              <w:pStyle w:val="Heading1"/>
              <w:rPr>
                <w:rFonts w:ascii="Arial" w:hAnsi="Arial" w:cs="Arial"/>
                <w:b w:val="0"/>
                <w:szCs w:val="20"/>
              </w:rPr>
            </w:pPr>
          </w:p>
        </w:tc>
      </w:tr>
    </w:tbl>
    <w:p w14:paraId="493DC739" w14:textId="77777777" w:rsidR="00F82FD2" w:rsidRPr="008B23B2" w:rsidRDefault="00F82FD2">
      <w:pPr>
        <w:jc w:val="left"/>
        <w:rPr>
          <w:rFonts w:ascii="Arial" w:hAnsi="Arial" w:cs="Arial"/>
          <w:sz w:val="20"/>
          <w:szCs w:val="20"/>
        </w:rPr>
      </w:pPr>
    </w:p>
    <w:p w14:paraId="6210A667" w14:textId="77777777" w:rsidR="00DC742E" w:rsidRPr="008B23B2" w:rsidRDefault="004672EE">
      <w:pPr>
        <w:jc w:val="left"/>
        <w:rPr>
          <w:rFonts w:ascii="Arial" w:hAnsi="Arial" w:cs="Arial"/>
          <w:b/>
          <w:sz w:val="20"/>
          <w:szCs w:val="20"/>
        </w:rPr>
      </w:pPr>
      <w:r w:rsidRPr="008B23B2">
        <w:rPr>
          <w:rFonts w:ascii="Arial" w:hAnsi="Arial" w:cs="Arial"/>
          <w:b/>
          <w:sz w:val="20"/>
          <w:szCs w:val="20"/>
        </w:rPr>
        <w:t>Notes</w:t>
      </w:r>
    </w:p>
    <w:p w14:paraId="33CCAF4F" w14:textId="77777777" w:rsidR="00DC742E" w:rsidRPr="008B23B2" w:rsidRDefault="00DC742E">
      <w:pPr>
        <w:jc w:val="left"/>
        <w:rPr>
          <w:rFonts w:ascii="Arial" w:hAnsi="Arial" w:cs="Arial"/>
          <w:sz w:val="20"/>
          <w:szCs w:val="20"/>
        </w:rPr>
      </w:pPr>
    </w:p>
    <w:p w14:paraId="4E6E4722" w14:textId="77777777" w:rsidR="00DE1E25" w:rsidRPr="008B23B2" w:rsidRDefault="00F56380">
      <w:pPr>
        <w:jc w:val="left"/>
        <w:rPr>
          <w:rFonts w:ascii="Arial" w:hAnsi="Arial" w:cs="Arial"/>
          <w:sz w:val="20"/>
          <w:szCs w:val="20"/>
        </w:rPr>
      </w:pPr>
      <w:r w:rsidRPr="008B23B2">
        <w:rPr>
          <w:rFonts w:ascii="Arial" w:hAnsi="Arial" w:cs="Arial"/>
          <w:sz w:val="20"/>
          <w:szCs w:val="20"/>
          <w:vertAlign w:val="superscript"/>
        </w:rPr>
        <w:t xml:space="preserve"> 1</w:t>
      </w:r>
      <w:r w:rsidR="00DE1E25" w:rsidRPr="008B23B2">
        <w:rPr>
          <w:rFonts w:ascii="Arial" w:hAnsi="Arial" w:cs="Arial"/>
          <w:sz w:val="20"/>
          <w:szCs w:val="20"/>
        </w:rPr>
        <w:t xml:space="preserve"> </w:t>
      </w:r>
      <w:r w:rsidR="00C24B1E" w:rsidRPr="008B23B2">
        <w:rPr>
          <w:rFonts w:ascii="Arial" w:hAnsi="Arial" w:cs="Arial"/>
          <w:sz w:val="20"/>
          <w:szCs w:val="20"/>
        </w:rPr>
        <w:t xml:space="preserve"> </w:t>
      </w:r>
      <w:r w:rsidR="00F23666" w:rsidRPr="008B23B2">
        <w:rPr>
          <w:rFonts w:ascii="Arial" w:hAnsi="Arial" w:cs="Arial"/>
          <w:sz w:val="20"/>
          <w:szCs w:val="20"/>
        </w:rPr>
        <w:t xml:space="preserve">If </w:t>
      </w:r>
      <w:r w:rsidR="00FB3AE2" w:rsidRPr="008B23B2">
        <w:rPr>
          <w:rFonts w:ascii="Arial" w:hAnsi="Arial" w:cs="Arial"/>
          <w:sz w:val="20"/>
          <w:szCs w:val="20"/>
        </w:rPr>
        <w:t>in</w:t>
      </w:r>
      <w:r w:rsidR="00DE1E25" w:rsidRPr="008B23B2">
        <w:rPr>
          <w:rFonts w:ascii="Arial" w:hAnsi="Arial" w:cs="Arial"/>
          <w:sz w:val="20"/>
          <w:szCs w:val="20"/>
        </w:rPr>
        <w:t xml:space="preserve">vestor(s) </w:t>
      </w:r>
      <w:r w:rsidR="00AD4C35" w:rsidRPr="008B23B2">
        <w:rPr>
          <w:rFonts w:ascii="Arial" w:hAnsi="Arial" w:cs="Arial"/>
          <w:sz w:val="20"/>
          <w:szCs w:val="20"/>
        </w:rPr>
        <w:t>of the Fund</w:t>
      </w:r>
      <w:r w:rsidR="00160B9F" w:rsidRPr="008B23B2">
        <w:rPr>
          <w:rFonts w:ascii="Arial" w:hAnsi="Arial" w:cs="Arial"/>
          <w:sz w:val="20"/>
          <w:szCs w:val="20"/>
        </w:rPr>
        <w:t>(s)</w:t>
      </w:r>
      <w:r w:rsidR="00AD4C35" w:rsidRPr="008B23B2">
        <w:rPr>
          <w:rFonts w:ascii="Arial" w:hAnsi="Arial" w:cs="Arial"/>
          <w:sz w:val="20"/>
          <w:szCs w:val="20"/>
        </w:rPr>
        <w:t xml:space="preserve"> include(s) </w:t>
      </w:r>
      <w:r w:rsidR="00DE1E25" w:rsidRPr="008B23B2">
        <w:rPr>
          <w:rFonts w:ascii="Arial" w:hAnsi="Arial" w:cs="Arial"/>
          <w:sz w:val="20"/>
          <w:szCs w:val="20"/>
        </w:rPr>
        <w:t>insurance company(</w:t>
      </w:r>
      <w:proofErr w:type="spellStart"/>
      <w:r w:rsidR="00DE1E25" w:rsidRPr="008B23B2">
        <w:rPr>
          <w:rFonts w:ascii="Arial" w:hAnsi="Arial" w:cs="Arial"/>
          <w:sz w:val="20"/>
          <w:szCs w:val="20"/>
        </w:rPr>
        <w:t>ies</w:t>
      </w:r>
      <w:proofErr w:type="spellEnd"/>
      <w:r w:rsidR="00DE1E25" w:rsidRPr="008B23B2">
        <w:rPr>
          <w:rFonts w:ascii="Arial" w:hAnsi="Arial" w:cs="Arial"/>
          <w:sz w:val="20"/>
          <w:szCs w:val="20"/>
        </w:rPr>
        <w:t xml:space="preserve">) </w:t>
      </w:r>
      <w:r w:rsidR="00AD4C35" w:rsidRPr="008B23B2">
        <w:rPr>
          <w:rFonts w:ascii="Arial" w:hAnsi="Arial" w:cs="Arial"/>
          <w:sz w:val="20"/>
          <w:szCs w:val="20"/>
        </w:rPr>
        <w:t xml:space="preserve">which is/are issuer(s) of </w:t>
      </w:r>
      <w:r w:rsidR="00DE1E25" w:rsidRPr="008B23B2">
        <w:rPr>
          <w:rFonts w:ascii="Arial" w:hAnsi="Arial" w:cs="Arial"/>
          <w:sz w:val="20"/>
          <w:szCs w:val="20"/>
        </w:rPr>
        <w:t xml:space="preserve">SFC-authorized ILAS linked to the performance of the Fund(s), please ensure to include </w:t>
      </w:r>
      <w:r w:rsidR="00087633" w:rsidRPr="008B23B2">
        <w:rPr>
          <w:rFonts w:ascii="Arial" w:hAnsi="Arial" w:cs="Arial"/>
          <w:sz w:val="20"/>
          <w:szCs w:val="20"/>
        </w:rPr>
        <w:t>tho</w:t>
      </w:r>
      <w:r w:rsidR="00AD4C35" w:rsidRPr="008B23B2">
        <w:rPr>
          <w:rFonts w:ascii="Arial" w:hAnsi="Arial" w:cs="Arial"/>
          <w:sz w:val="20"/>
          <w:szCs w:val="20"/>
        </w:rPr>
        <w:t xml:space="preserve">se </w:t>
      </w:r>
      <w:r w:rsidR="00DC742E" w:rsidRPr="008B23B2">
        <w:rPr>
          <w:rFonts w:ascii="Arial" w:hAnsi="Arial" w:cs="Arial"/>
          <w:sz w:val="20"/>
          <w:szCs w:val="20"/>
        </w:rPr>
        <w:t>investor</w:t>
      </w:r>
      <w:r w:rsidR="00160B9F" w:rsidRPr="008B23B2">
        <w:rPr>
          <w:rFonts w:ascii="Arial" w:hAnsi="Arial" w:cs="Arial"/>
          <w:sz w:val="20"/>
          <w:szCs w:val="20"/>
        </w:rPr>
        <w:t>(</w:t>
      </w:r>
      <w:r w:rsidR="00DC742E" w:rsidRPr="008B23B2">
        <w:rPr>
          <w:rFonts w:ascii="Arial" w:hAnsi="Arial" w:cs="Arial"/>
          <w:sz w:val="20"/>
          <w:szCs w:val="20"/>
        </w:rPr>
        <w:t>s</w:t>
      </w:r>
      <w:r w:rsidR="00160B9F" w:rsidRPr="008B23B2">
        <w:rPr>
          <w:rFonts w:ascii="Arial" w:hAnsi="Arial" w:cs="Arial"/>
          <w:sz w:val="20"/>
          <w:szCs w:val="20"/>
        </w:rPr>
        <w:t>)</w:t>
      </w:r>
      <w:r w:rsidR="00DC742E" w:rsidRPr="008B23B2">
        <w:rPr>
          <w:rFonts w:ascii="Arial" w:hAnsi="Arial" w:cs="Arial"/>
          <w:sz w:val="20"/>
          <w:szCs w:val="20"/>
        </w:rPr>
        <w:t xml:space="preserve"> </w:t>
      </w:r>
      <w:r w:rsidR="00AD4C35" w:rsidRPr="008B23B2">
        <w:rPr>
          <w:rFonts w:ascii="Arial" w:hAnsi="Arial" w:cs="Arial"/>
          <w:sz w:val="20"/>
          <w:szCs w:val="20"/>
        </w:rPr>
        <w:t xml:space="preserve">who </w:t>
      </w:r>
      <w:r w:rsidR="00DC742E" w:rsidRPr="008B23B2">
        <w:rPr>
          <w:rFonts w:ascii="Arial" w:hAnsi="Arial" w:cs="Arial"/>
          <w:sz w:val="20"/>
          <w:szCs w:val="20"/>
        </w:rPr>
        <w:t xml:space="preserve">may be affected </w:t>
      </w:r>
      <w:r w:rsidR="00AD4C35" w:rsidRPr="008B23B2">
        <w:rPr>
          <w:rFonts w:ascii="Arial" w:hAnsi="Arial" w:cs="Arial"/>
          <w:sz w:val="20"/>
          <w:szCs w:val="20"/>
        </w:rPr>
        <w:t>by their</w:t>
      </w:r>
      <w:r w:rsidR="00DC742E" w:rsidRPr="008B23B2">
        <w:rPr>
          <w:rFonts w:ascii="Arial" w:hAnsi="Arial" w:cs="Arial"/>
          <w:sz w:val="20"/>
          <w:szCs w:val="20"/>
        </w:rPr>
        <w:t xml:space="preserve"> investment via </w:t>
      </w:r>
      <w:r w:rsidR="00AD4C35" w:rsidRPr="008B23B2">
        <w:rPr>
          <w:rFonts w:ascii="Arial" w:hAnsi="Arial" w:cs="Arial"/>
          <w:sz w:val="20"/>
          <w:szCs w:val="20"/>
        </w:rPr>
        <w:t xml:space="preserve">such </w:t>
      </w:r>
      <w:r w:rsidR="00DC742E" w:rsidRPr="008B23B2">
        <w:rPr>
          <w:rFonts w:ascii="Arial" w:hAnsi="Arial" w:cs="Arial"/>
          <w:sz w:val="20"/>
          <w:szCs w:val="20"/>
        </w:rPr>
        <w:t>ILAS issuer</w:t>
      </w:r>
      <w:r w:rsidR="00AD4C35" w:rsidRPr="008B23B2">
        <w:rPr>
          <w:rFonts w:ascii="Arial" w:hAnsi="Arial" w:cs="Arial"/>
          <w:sz w:val="20"/>
          <w:szCs w:val="20"/>
        </w:rPr>
        <w:t>(</w:t>
      </w:r>
      <w:r w:rsidR="00DC742E" w:rsidRPr="008B23B2">
        <w:rPr>
          <w:rFonts w:ascii="Arial" w:hAnsi="Arial" w:cs="Arial"/>
          <w:sz w:val="20"/>
          <w:szCs w:val="20"/>
        </w:rPr>
        <w:t>s</w:t>
      </w:r>
      <w:r w:rsidR="00AD4C35" w:rsidRPr="008B23B2">
        <w:rPr>
          <w:rFonts w:ascii="Arial" w:hAnsi="Arial" w:cs="Arial"/>
          <w:sz w:val="20"/>
          <w:szCs w:val="20"/>
        </w:rPr>
        <w:t>)</w:t>
      </w:r>
      <w:r w:rsidR="00DC742E" w:rsidRPr="008B23B2">
        <w:rPr>
          <w:rFonts w:ascii="Arial" w:hAnsi="Arial" w:cs="Arial"/>
          <w:sz w:val="20"/>
          <w:szCs w:val="20"/>
        </w:rPr>
        <w:t xml:space="preserve"> (if known)</w:t>
      </w:r>
      <w:r w:rsidR="00DE1E25" w:rsidRPr="008B23B2">
        <w:rPr>
          <w:rFonts w:ascii="Arial" w:hAnsi="Arial" w:cs="Arial"/>
          <w:sz w:val="20"/>
          <w:szCs w:val="20"/>
        </w:rPr>
        <w:t xml:space="preserve"> </w:t>
      </w:r>
      <w:r w:rsidR="00B222B1" w:rsidRPr="008B23B2">
        <w:rPr>
          <w:rFonts w:ascii="Arial" w:hAnsi="Arial" w:cs="Arial"/>
          <w:sz w:val="20"/>
          <w:szCs w:val="20"/>
        </w:rPr>
        <w:t>in your response to</w:t>
      </w:r>
      <w:r w:rsidR="00DE1E25" w:rsidRPr="008B23B2">
        <w:rPr>
          <w:rFonts w:ascii="Arial" w:hAnsi="Arial" w:cs="Arial"/>
          <w:sz w:val="20"/>
          <w:szCs w:val="20"/>
        </w:rPr>
        <w:t xml:space="preserve"> items 1</w:t>
      </w:r>
      <w:r w:rsidR="00491C07" w:rsidRPr="008B23B2">
        <w:rPr>
          <w:rFonts w:ascii="Arial" w:hAnsi="Arial" w:cs="Arial"/>
          <w:sz w:val="20"/>
          <w:szCs w:val="20"/>
        </w:rPr>
        <w:t>1 to</w:t>
      </w:r>
      <w:r w:rsidR="009E4239" w:rsidRPr="008B23B2">
        <w:rPr>
          <w:rFonts w:ascii="Arial" w:hAnsi="Arial" w:cs="Arial"/>
          <w:sz w:val="20"/>
          <w:szCs w:val="20"/>
        </w:rPr>
        <w:t xml:space="preserve"> 1</w:t>
      </w:r>
      <w:r w:rsidR="00054123" w:rsidRPr="008B23B2">
        <w:rPr>
          <w:rFonts w:ascii="Arial" w:hAnsi="Arial" w:cs="Arial"/>
          <w:sz w:val="20"/>
          <w:szCs w:val="20"/>
        </w:rPr>
        <w:t>5</w:t>
      </w:r>
      <w:r w:rsidR="009E4239" w:rsidRPr="008B23B2">
        <w:rPr>
          <w:rFonts w:ascii="Arial" w:hAnsi="Arial" w:cs="Arial"/>
          <w:sz w:val="20"/>
          <w:szCs w:val="20"/>
        </w:rPr>
        <w:t xml:space="preserve"> </w:t>
      </w:r>
      <w:r w:rsidR="00DE1E25" w:rsidRPr="008B23B2">
        <w:rPr>
          <w:rFonts w:ascii="Arial" w:hAnsi="Arial" w:cs="Arial"/>
          <w:sz w:val="20"/>
          <w:szCs w:val="20"/>
        </w:rPr>
        <w:t>above.</w:t>
      </w:r>
      <w:r w:rsidR="00DC742E" w:rsidRPr="008B23B2">
        <w:rPr>
          <w:rFonts w:ascii="Arial" w:hAnsi="Arial" w:cs="Arial"/>
          <w:sz w:val="20"/>
          <w:szCs w:val="20"/>
        </w:rPr>
        <w:t xml:space="preserve"> For the purposes of filing this form, the management company may regard such an ILAS issuer as </w:t>
      </w:r>
      <w:r w:rsidR="00AD4C35" w:rsidRPr="008B23B2">
        <w:rPr>
          <w:rFonts w:ascii="Arial" w:hAnsi="Arial" w:cs="Arial"/>
          <w:sz w:val="20"/>
          <w:szCs w:val="20"/>
          <w:u w:val="single"/>
        </w:rPr>
        <w:t>ONE</w:t>
      </w:r>
      <w:r w:rsidR="00DD086A" w:rsidRPr="008B23B2">
        <w:rPr>
          <w:rFonts w:ascii="Arial" w:hAnsi="Arial" w:cs="Arial"/>
          <w:sz w:val="20"/>
          <w:szCs w:val="20"/>
        </w:rPr>
        <w:t xml:space="preserve"> </w:t>
      </w:r>
      <w:r w:rsidR="00DC742E" w:rsidRPr="008B23B2">
        <w:rPr>
          <w:rFonts w:ascii="Arial" w:hAnsi="Arial" w:cs="Arial"/>
          <w:sz w:val="20"/>
          <w:szCs w:val="20"/>
        </w:rPr>
        <w:t>HK investor and should disclose this clearly in the form if it has no information concerning the end investors in HK who are investors in the Fund(s) via such an ILAS.</w:t>
      </w:r>
    </w:p>
    <w:p w14:paraId="77ABD098" w14:textId="77777777" w:rsidR="00DC742E" w:rsidRPr="008B23B2" w:rsidRDefault="00DC742E">
      <w:pPr>
        <w:jc w:val="left"/>
        <w:rPr>
          <w:rFonts w:ascii="Arial" w:hAnsi="Arial" w:cs="Arial"/>
          <w:sz w:val="20"/>
          <w:szCs w:val="20"/>
        </w:rPr>
      </w:pPr>
    </w:p>
    <w:p w14:paraId="156E50FB" w14:textId="77777777" w:rsidR="00F328E2" w:rsidRPr="008B23B2" w:rsidRDefault="00F56380">
      <w:pPr>
        <w:jc w:val="left"/>
        <w:rPr>
          <w:rFonts w:ascii="Arial" w:hAnsi="Arial" w:cs="Arial"/>
          <w:sz w:val="20"/>
          <w:szCs w:val="20"/>
        </w:rPr>
      </w:pPr>
      <w:r w:rsidRPr="008B23B2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gramStart"/>
      <w:r w:rsidRPr="008B23B2">
        <w:rPr>
          <w:rFonts w:ascii="Arial" w:hAnsi="Arial" w:cs="Arial"/>
          <w:sz w:val="20"/>
          <w:szCs w:val="20"/>
          <w:vertAlign w:val="superscript"/>
        </w:rPr>
        <w:t>2</w:t>
      </w:r>
      <w:r w:rsidR="00C24B1E" w:rsidRPr="008B23B2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="006F4EFB" w:rsidRPr="008B23B2">
        <w:rPr>
          <w:rFonts w:ascii="Arial" w:hAnsi="Arial" w:cs="Arial"/>
          <w:color w:val="000000"/>
          <w:sz w:val="20"/>
          <w:szCs w:val="20"/>
        </w:rPr>
        <w:t>If</w:t>
      </w:r>
      <w:proofErr w:type="gramEnd"/>
      <w:r w:rsidR="006F4EFB" w:rsidRPr="008B23B2">
        <w:rPr>
          <w:rFonts w:ascii="Arial" w:hAnsi="Arial" w:cs="Arial"/>
          <w:color w:val="000000"/>
          <w:sz w:val="20"/>
          <w:szCs w:val="20"/>
        </w:rPr>
        <w:t xml:space="preserve"> the error involves both over-valuation and under-valuation, please state separately the total number of investors having subscribed/redeemed during the period of over-valuation and the total number of investors during the period of under-valuation.</w:t>
      </w:r>
    </w:p>
    <w:p w14:paraId="4425671A" w14:textId="77777777" w:rsidR="00F328E2" w:rsidRPr="008B23B2" w:rsidRDefault="00F328E2" w:rsidP="00F328E2">
      <w:pPr>
        <w:rPr>
          <w:rFonts w:ascii="Arial" w:hAnsi="Arial" w:cs="Arial"/>
          <w:sz w:val="20"/>
          <w:szCs w:val="20"/>
        </w:rPr>
      </w:pPr>
    </w:p>
    <w:p w14:paraId="69F139F1" w14:textId="77777777" w:rsidR="00F328E2" w:rsidRPr="008B23B2" w:rsidRDefault="00F328E2" w:rsidP="00F328E2">
      <w:pPr>
        <w:rPr>
          <w:rFonts w:ascii="Arial" w:hAnsi="Arial" w:cs="Arial"/>
          <w:sz w:val="20"/>
          <w:szCs w:val="20"/>
        </w:rPr>
      </w:pPr>
    </w:p>
    <w:p w14:paraId="56BF8ED3" w14:textId="77777777" w:rsidR="00085AD4" w:rsidRPr="008B23B2" w:rsidRDefault="00085AD4" w:rsidP="00085AD4">
      <w:pPr>
        <w:rPr>
          <w:rFonts w:ascii="Arial" w:hAnsi="Arial" w:cs="Arial"/>
          <w:sz w:val="20"/>
          <w:szCs w:val="20"/>
        </w:rPr>
      </w:pPr>
    </w:p>
    <w:sectPr w:rsidR="00085AD4" w:rsidRPr="008B23B2" w:rsidSect="00085AD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03" w:right="1800" w:bottom="0" w:left="1800" w:header="708" w:footer="983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959A9" w14:textId="77777777" w:rsidR="005D50EE" w:rsidRDefault="005D50EE" w:rsidP="00372D39">
      <w:r>
        <w:separator/>
      </w:r>
    </w:p>
  </w:endnote>
  <w:endnote w:type="continuationSeparator" w:id="0">
    <w:p w14:paraId="78A24FD2" w14:textId="77777777" w:rsidR="005D50EE" w:rsidRDefault="005D50EE" w:rsidP="0037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7C5C" w14:textId="145E0D8B" w:rsidR="000234AC" w:rsidRPr="000234AC" w:rsidRDefault="00085AD4" w:rsidP="00A24095">
    <w:pPr>
      <w:pStyle w:val="Footer"/>
      <w:ind w:left="-360" w:right="3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Last</w:t>
    </w:r>
    <w:r w:rsidR="000234AC" w:rsidRPr="000234AC">
      <w:rPr>
        <w:rFonts w:ascii="Arial" w:hAnsi="Arial" w:cs="Arial"/>
        <w:sz w:val="16"/>
        <w:szCs w:val="16"/>
      </w:rPr>
      <w:t xml:space="preserve"> updated: </w:t>
    </w:r>
    <w:r w:rsidR="0085002B" w:rsidRPr="0085002B">
      <w:rPr>
        <w:rFonts w:ascii="Arial" w:hAnsi="Arial" w:cs="Arial"/>
        <w:sz w:val="16"/>
        <w:szCs w:val="16"/>
      </w:rPr>
      <w:t>22</w:t>
    </w:r>
    <w:r w:rsidRPr="0085002B">
      <w:rPr>
        <w:rFonts w:ascii="Arial" w:hAnsi="Arial" w:cs="Arial"/>
        <w:sz w:val="16"/>
        <w:szCs w:val="16"/>
      </w:rPr>
      <w:t xml:space="preserve"> </w:t>
    </w:r>
    <w:r w:rsidR="00622B7D" w:rsidRPr="0085002B">
      <w:rPr>
        <w:rFonts w:ascii="Arial" w:hAnsi="Arial" w:cs="Arial"/>
        <w:sz w:val="16"/>
        <w:szCs w:val="16"/>
      </w:rPr>
      <w:t xml:space="preserve">December </w:t>
    </w:r>
    <w:r w:rsidRPr="0085002B">
      <w:rPr>
        <w:rFonts w:ascii="Arial" w:hAnsi="Arial" w:cs="Arial"/>
        <w:sz w:val="16"/>
        <w:szCs w:val="16"/>
      </w:rPr>
      <w:t>2023</w:t>
    </w:r>
  </w:p>
  <w:p w14:paraId="25E4A167" w14:textId="77777777" w:rsidR="00372D39" w:rsidRPr="000234AC" w:rsidRDefault="00C922C7" w:rsidP="00085AD4">
    <w:pPr>
      <w:pStyle w:val="Footer"/>
      <w:ind w:left="-360" w:right="320"/>
      <w:rPr>
        <w:rFonts w:ascii="Arial" w:hAnsi="Arial" w:cs="Arial"/>
        <w:sz w:val="16"/>
        <w:szCs w:val="16"/>
      </w:rPr>
    </w:pPr>
    <w:r w:rsidRPr="00897582">
      <w:rPr>
        <w:rFonts w:ascii="Arial" w:hAnsi="Arial" w:cs="Arial"/>
        <w:sz w:val="16"/>
        <w:szCs w:val="16"/>
      </w:rPr>
      <w:tab/>
    </w:r>
    <w:r w:rsidRPr="00897582">
      <w:rPr>
        <w:rFonts w:ascii="Arial" w:hAnsi="Arial" w:cs="Arial"/>
        <w:sz w:val="16"/>
        <w:szCs w:val="16"/>
      </w:rPr>
      <w:tab/>
    </w:r>
    <w:r w:rsidR="00372D39" w:rsidRPr="00897582">
      <w:rPr>
        <w:rFonts w:ascii="Arial" w:hAnsi="Arial" w:cs="Arial"/>
        <w:sz w:val="16"/>
        <w:szCs w:val="16"/>
      </w:rPr>
      <w:fldChar w:fldCharType="begin"/>
    </w:r>
    <w:r w:rsidR="00372D39" w:rsidRPr="00897582">
      <w:rPr>
        <w:rFonts w:ascii="Arial" w:hAnsi="Arial" w:cs="Arial"/>
        <w:sz w:val="16"/>
        <w:szCs w:val="16"/>
      </w:rPr>
      <w:instrText xml:space="preserve"> PAGE   \* MERGEFORMAT </w:instrText>
    </w:r>
    <w:r w:rsidR="00372D39" w:rsidRPr="00897582">
      <w:rPr>
        <w:rFonts w:ascii="Arial" w:hAnsi="Arial" w:cs="Arial"/>
        <w:sz w:val="16"/>
        <w:szCs w:val="16"/>
      </w:rPr>
      <w:fldChar w:fldCharType="separate"/>
    </w:r>
    <w:r w:rsidR="00A7660A">
      <w:rPr>
        <w:rFonts w:ascii="Arial" w:hAnsi="Arial" w:cs="Arial"/>
        <w:noProof/>
        <w:sz w:val="16"/>
        <w:szCs w:val="16"/>
      </w:rPr>
      <w:t>2</w:t>
    </w:r>
    <w:r w:rsidR="00372D39" w:rsidRPr="00897582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FA41" w14:textId="73043300" w:rsidR="007D3192" w:rsidRPr="000234AC" w:rsidRDefault="007D3192" w:rsidP="00A24095">
    <w:pPr>
      <w:pStyle w:val="Footer"/>
      <w:ind w:left="-360" w:right="3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Last</w:t>
    </w:r>
    <w:r w:rsidRPr="000234AC">
      <w:rPr>
        <w:rFonts w:ascii="Arial" w:hAnsi="Arial" w:cs="Arial"/>
        <w:sz w:val="16"/>
        <w:szCs w:val="16"/>
      </w:rPr>
      <w:t xml:space="preserve"> updated</w:t>
    </w:r>
    <w:r w:rsidRPr="0085002B">
      <w:rPr>
        <w:rFonts w:ascii="Arial" w:hAnsi="Arial" w:cs="Arial"/>
        <w:sz w:val="16"/>
        <w:szCs w:val="16"/>
      </w:rPr>
      <w:t xml:space="preserve">: </w:t>
    </w:r>
    <w:r w:rsidR="0085002B" w:rsidRPr="0085002B">
      <w:rPr>
        <w:rFonts w:ascii="Arial" w:hAnsi="Arial" w:cs="Arial"/>
        <w:sz w:val="16"/>
        <w:szCs w:val="16"/>
      </w:rPr>
      <w:t xml:space="preserve">22 </w:t>
    </w:r>
    <w:r w:rsidR="00622B7D" w:rsidRPr="0085002B">
      <w:rPr>
        <w:rFonts w:ascii="Arial" w:hAnsi="Arial" w:cs="Arial"/>
        <w:sz w:val="16"/>
        <w:szCs w:val="16"/>
      </w:rPr>
      <w:t xml:space="preserve">December </w:t>
    </w:r>
    <w:r w:rsidRPr="0085002B">
      <w:rPr>
        <w:rFonts w:ascii="Arial" w:hAnsi="Arial" w:cs="Arial"/>
        <w:sz w:val="16"/>
        <w:szCs w:val="16"/>
      </w:rPr>
      <w:t>2023</w:t>
    </w:r>
  </w:p>
  <w:p w14:paraId="1A2FB623" w14:textId="7E3C3170" w:rsidR="00F328E2" w:rsidRPr="007D3192" w:rsidRDefault="007D3192" w:rsidP="007D3192">
    <w:pPr>
      <w:pStyle w:val="Footer"/>
      <w:ind w:left="-360" w:right="320"/>
      <w:rPr>
        <w:rFonts w:ascii="Arial" w:hAnsi="Arial" w:cs="Arial"/>
        <w:sz w:val="16"/>
        <w:szCs w:val="16"/>
      </w:rPr>
    </w:pPr>
    <w:r w:rsidRPr="00897582">
      <w:rPr>
        <w:rFonts w:ascii="Arial" w:hAnsi="Arial" w:cs="Arial"/>
        <w:sz w:val="16"/>
        <w:szCs w:val="16"/>
      </w:rPr>
      <w:tab/>
    </w:r>
    <w:r w:rsidRPr="00897582">
      <w:rPr>
        <w:rFonts w:ascii="Arial" w:hAnsi="Arial" w:cs="Arial"/>
        <w:sz w:val="16"/>
        <w:szCs w:val="16"/>
      </w:rPr>
      <w:tab/>
    </w:r>
    <w:r w:rsidRPr="00897582">
      <w:rPr>
        <w:rFonts w:ascii="Arial" w:hAnsi="Arial" w:cs="Arial"/>
        <w:sz w:val="16"/>
        <w:szCs w:val="16"/>
      </w:rPr>
      <w:fldChar w:fldCharType="begin"/>
    </w:r>
    <w:r w:rsidRPr="00897582">
      <w:rPr>
        <w:rFonts w:ascii="Arial" w:hAnsi="Arial" w:cs="Arial"/>
        <w:sz w:val="16"/>
        <w:szCs w:val="16"/>
      </w:rPr>
      <w:instrText xml:space="preserve"> PAGE   \* MERGEFORMAT </w:instrText>
    </w:r>
    <w:r w:rsidRPr="0089758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89758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A1858" w14:textId="77777777" w:rsidR="005D50EE" w:rsidRDefault="005D50EE" w:rsidP="00372D39">
      <w:r>
        <w:separator/>
      </w:r>
    </w:p>
  </w:footnote>
  <w:footnote w:type="continuationSeparator" w:id="0">
    <w:p w14:paraId="552B076A" w14:textId="77777777" w:rsidR="005D50EE" w:rsidRDefault="005D50EE" w:rsidP="00372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388C" w14:textId="77777777" w:rsidR="00C922C7" w:rsidRDefault="00A7660A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028117EA" wp14:editId="2D7F155F">
          <wp:simplePos x="0" y="0"/>
          <wp:positionH relativeFrom="column">
            <wp:posOffset>-361950</wp:posOffset>
          </wp:positionH>
          <wp:positionV relativeFrom="paragraph">
            <wp:posOffset>309880</wp:posOffset>
          </wp:positionV>
          <wp:extent cx="962025" cy="594995"/>
          <wp:effectExtent l="0" t="0" r="0" b="0"/>
          <wp:wrapNone/>
          <wp:docPr id="4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61" t="30795" r="21234" b="29076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19B5" w14:textId="77777777" w:rsidR="001A46A3" w:rsidRDefault="00A7660A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216" behindDoc="0" locked="0" layoutInCell="1" allowOverlap="1" wp14:anchorId="7F639B2D" wp14:editId="2B451100">
          <wp:simplePos x="0" y="0"/>
          <wp:positionH relativeFrom="margin">
            <wp:posOffset>-401955</wp:posOffset>
          </wp:positionH>
          <wp:positionV relativeFrom="paragraph">
            <wp:posOffset>221615</wp:posOffset>
          </wp:positionV>
          <wp:extent cx="2624455" cy="897890"/>
          <wp:effectExtent l="0" t="0" r="0" b="0"/>
          <wp:wrapNone/>
          <wp:docPr id="3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1" t="30615" r="17409" b="32738"/>
                  <a:stretch>
                    <a:fillRect/>
                  </a:stretch>
                </pic:blipFill>
                <pic:spPr bwMode="auto">
                  <a:xfrm>
                    <a:off x="0" y="0"/>
                    <a:ext cx="262445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A716FD"/>
    <w:multiLevelType w:val="singleLevel"/>
    <w:tmpl w:val="2A3A37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1A9188D"/>
    <w:multiLevelType w:val="singleLevel"/>
    <w:tmpl w:val="3452A4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CDB7F52"/>
    <w:multiLevelType w:val="singleLevel"/>
    <w:tmpl w:val="C85E65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7E755D"/>
    <w:multiLevelType w:val="singleLevel"/>
    <w:tmpl w:val="C85E65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59471308">
    <w:abstractNumId w:val="2"/>
  </w:num>
  <w:num w:numId="2" w16cid:durableId="145308666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136994849">
    <w:abstractNumId w:val="3"/>
  </w:num>
  <w:num w:numId="4" w16cid:durableId="1998682463">
    <w:abstractNumId w:val="4"/>
  </w:num>
  <w:num w:numId="5" w16cid:durableId="518741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EFB"/>
    <w:rsid w:val="0002050E"/>
    <w:rsid w:val="000234AC"/>
    <w:rsid w:val="00054123"/>
    <w:rsid w:val="00085AD4"/>
    <w:rsid w:val="00087633"/>
    <w:rsid w:val="00160B9F"/>
    <w:rsid w:val="001A46A3"/>
    <w:rsid w:val="002409EF"/>
    <w:rsid w:val="0025007D"/>
    <w:rsid w:val="002E0BD4"/>
    <w:rsid w:val="002F4B4A"/>
    <w:rsid w:val="002F6457"/>
    <w:rsid w:val="00350675"/>
    <w:rsid w:val="003530C2"/>
    <w:rsid w:val="00365E33"/>
    <w:rsid w:val="00372D39"/>
    <w:rsid w:val="00386C0B"/>
    <w:rsid w:val="003A4D40"/>
    <w:rsid w:val="00431550"/>
    <w:rsid w:val="004672EE"/>
    <w:rsid w:val="00467B73"/>
    <w:rsid w:val="00475005"/>
    <w:rsid w:val="00491C07"/>
    <w:rsid w:val="005D50EE"/>
    <w:rsid w:val="00622B7D"/>
    <w:rsid w:val="006F4EFB"/>
    <w:rsid w:val="007D3192"/>
    <w:rsid w:val="00816E89"/>
    <w:rsid w:val="0085002B"/>
    <w:rsid w:val="00856DA6"/>
    <w:rsid w:val="00897582"/>
    <w:rsid w:val="008B23B2"/>
    <w:rsid w:val="009075F1"/>
    <w:rsid w:val="00925650"/>
    <w:rsid w:val="009435C5"/>
    <w:rsid w:val="00972EC9"/>
    <w:rsid w:val="009A486A"/>
    <w:rsid w:val="009E4239"/>
    <w:rsid w:val="00A1161A"/>
    <w:rsid w:val="00A11A44"/>
    <w:rsid w:val="00A15331"/>
    <w:rsid w:val="00A24095"/>
    <w:rsid w:val="00A44284"/>
    <w:rsid w:val="00A7660A"/>
    <w:rsid w:val="00AC2BB4"/>
    <w:rsid w:val="00AD4C35"/>
    <w:rsid w:val="00B222B1"/>
    <w:rsid w:val="00B36E05"/>
    <w:rsid w:val="00B92CF3"/>
    <w:rsid w:val="00B94CF7"/>
    <w:rsid w:val="00C24B1E"/>
    <w:rsid w:val="00C43B54"/>
    <w:rsid w:val="00C509B8"/>
    <w:rsid w:val="00C922C7"/>
    <w:rsid w:val="00D51754"/>
    <w:rsid w:val="00DC742E"/>
    <w:rsid w:val="00DD086A"/>
    <w:rsid w:val="00DE1E25"/>
    <w:rsid w:val="00F23666"/>
    <w:rsid w:val="00F328E2"/>
    <w:rsid w:val="00F56380"/>
    <w:rsid w:val="00F773FF"/>
    <w:rsid w:val="00F82FD2"/>
    <w:rsid w:val="00FB3AE2"/>
    <w:rsid w:val="00FD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77EA306B"/>
  <w15:chartTrackingRefBased/>
  <w15:docId w15:val="{8FDD0154-3EF7-48BD-BC8F-64770076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FD2"/>
    <w:pPr>
      <w:jc w:val="both"/>
    </w:pPr>
    <w:rPr>
      <w:sz w:val="24"/>
      <w:szCs w:val="24"/>
      <w:lang w:eastAsia="zh-HK"/>
    </w:rPr>
  </w:style>
  <w:style w:type="paragraph" w:styleId="Heading1">
    <w:name w:val="heading 1"/>
    <w:basedOn w:val="Normal"/>
    <w:next w:val="Normal"/>
    <w:qFormat/>
    <w:rsid w:val="00F82FD2"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F82FD2"/>
    <w:pPr>
      <w:keepNext/>
      <w:spacing w:before="60" w:after="60"/>
      <w:jc w:val="center"/>
      <w:outlineLvl w:val="1"/>
    </w:pPr>
    <w:rPr>
      <w:b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">
    <w:name w:val="8.1"/>
    <w:basedOn w:val="Normal"/>
    <w:rsid w:val="00F82FD2"/>
    <w:pPr>
      <w:widowControl w:val="0"/>
      <w:ind w:left="720" w:hanging="720"/>
      <w:jc w:val="left"/>
    </w:pPr>
    <w:rPr>
      <w:sz w:val="26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DE1E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1A44"/>
    <w:rPr>
      <w:rFonts w:ascii="Tahoma" w:hAnsi="Tahoma" w:cs="Tahoma"/>
      <w:sz w:val="16"/>
      <w:szCs w:val="16"/>
      <w:lang w:eastAsia="zh-HK"/>
    </w:rPr>
  </w:style>
  <w:style w:type="paragraph" w:styleId="Header">
    <w:name w:val="header"/>
    <w:basedOn w:val="Normal"/>
    <w:link w:val="HeaderChar"/>
    <w:uiPriority w:val="99"/>
    <w:unhideWhenUsed/>
    <w:rsid w:val="00372D3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72D39"/>
    <w:rPr>
      <w:sz w:val="24"/>
      <w:szCs w:val="24"/>
      <w:lang w:eastAsia="zh-HK"/>
    </w:rPr>
  </w:style>
  <w:style w:type="paragraph" w:styleId="Footer">
    <w:name w:val="footer"/>
    <w:basedOn w:val="Normal"/>
    <w:link w:val="FooterChar"/>
    <w:uiPriority w:val="99"/>
    <w:unhideWhenUsed/>
    <w:rsid w:val="00372D3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72D39"/>
    <w:rPr>
      <w:sz w:val="24"/>
      <w:szCs w:val="24"/>
      <w:lang w:eastAsia="zh-HK"/>
    </w:rPr>
  </w:style>
  <w:style w:type="paragraph" w:styleId="Revision">
    <w:name w:val="Revision"/>
    <w:hidden/>
    <w:uiPriority w:val="99"/>
    <w:semiHidden/>
    <w:rsid w:val="00085AD4"/>
    <w:rPr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1FC240846954F918FB815737A0066" ma:contentTypeVersion="" ma:contentTypeDescription="Create a new document." ma:contentTypeScope="" ma:versionID="8694d3e2343f133a88610ddb8a19b0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8E13CA-5B0D-47A1-A54D-55375C8DED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5DB76B-5DC3-438E-97BB-9532E756A4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415391-EEA7-4039-8791-106DA2FC8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D12A47-80A5-4C39-9684-ECFB61516B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MEMO FOR PRICING ERRORS</vt:lpstr>
    </vt:vector>
  </TitlesOfParts>
  <Company>Securities and Futures Commission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MEMO FOR PRICING ERRORS</dc:title>
  <dc:subject/>
  <dc:creator>Tammy Ip</dc:creator>
  <cp:keywords/>
  <dc:description/>
  <cp:lastModifiedBy>SFC</cp:lastModifiedBy>
  <cp:revision>3</cp:revision>
  <cp:lastPrinted>2018-10-15T09:18:00Z</cp:lastPrinted>
  <dcterms:created xsi:type="dcterms:W3CDTF">2023-12-15T09:25:00Z</dcterms:created>
  <dcterms:modified xsi:type="dcterms:W3CDTF">2023-12-19T09:57:00Z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0x010100C0A1FC240846954F918FB815737A0066</vt:lpwstr>
  </property>
</Properties>
</file>