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2015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10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強制全面要約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榮豐國際有限公司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232"/>
        <w:gridCol w:w="1433"/>
        <w:gridCol w:w="1439"/>
        <w:gridCol w:w="1904"/>
        <w:gridCol w:w="1387"/>
        <w:gridCol w:w="1233"/>
        <w:gridCol w:w="1233"/>
        <w:gridCol w:w="1387"/>
        <w:gridCol w:w="1387"/>
        <w:gridCol w:w="1387"/>
      </w:tblGrid>
      <w:tr w:rsidR="00F27018" w:rsidRPr="00251CCF" w:rsidTr="006014DA">
        <w:trPr>
          <w:tblHeader/>
        </w:trPr>
        <w:tc>
          <w:tcPr>
            <w:tcW w:w="450" w:type="pct"/>
          </w:tcPr>
          <w:p w:rsidR="00F27018" w:rsidRPr="00E54308" w:rsidRDefault="006267CA">
            <w:pPr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交易方</w:t>
            </w:r>
          </w:p>
        </w:tc>
        <w:tc>
          <w:tcPr>
            <w:tcW w:w="400" w:type="pct"/>
          </w:tcPr>
          <w:p w:rsidR="00F27018" w:rsidRPr="00E54308" w:rsidRDefault="006267CA" w:rsidP="00266358">
            <w:pPr>
              <w:widowControl/>
              <w:topLinePunct/>
              <w:adjustRightInd w:val="0"/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日期</w:t>
            </w:r>
          </w:p>
        </w:tc>
        <w:tc>
          <w:tcPr>
            <w:tcW w:w="465" w:type="pct"/>
          </w:tcPr>
          <w:p w:rsidR="00F27018" w:rsidRPr="00E54308" w:rsidRDefault="00F532D5" w:rsidP="00F532D5">
            <w:pPr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有關證券的說明</w:t>
            </w:r>
          </w:p>
        </w:tc>
        <w:tc>
          <w:tcPr>
            <w:tcW w:w="467" w:type="pct"/>
          </w:tcPr>
          <w:p w:rsidR="00F27018" w:rsidRPr="00E54308" w:rsidRDefault="0058416F" w:rsidP="0058416F">
            <w:pPr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產品說明</w:t>
            </w:r>
          </w:p>
        </w:tc>
        <w:tc>
          <w:tcPr>
            <w:tcW w:w="618" w:type="pct"/>
          </w:tcPr>
          <w:p w:rsidR="00F27018" w:rsidRPr="00E54308" w:rsidRDefault="0058416F" w:rsidP="0058416F">
            <w:pPr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交易性質</w:t>
            </w:r>
          </w:p>
        </w:tc>
        <w:tc>
          <w:tcPr>
            <w:tcW w:w="450" w:type="pct"/>
          </w:tcPr>
          <w:p w:rsidR="00F27018" w:rsidRPr="00E54308" w:rsidRDefault="0058416F" w:rsidP="0058416F">
            <w:pPr>
              <w:rPr>
                <w:sz w:val="16"/>
                <w:szCs w:val="16"/>
                <w:lang w:eastAsia="zh-TW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  <w:lang w:eastAsia="zh-TW"/>
              </w:rPr>
              <w:t>期權所涉及的證券數目</w:t>
            </w:r>
          </w:p>
        </w:tc>
        <w:tc>
          <w:tcPr>
            <w:tcW w:w="400" w:type="pct"/>
          </w:tcPr>
          <w:p w:rsidR="0058416F" w:rsidRPr="00E54308" w:rsidRDefault="0058416F" w:rsidP="00266358">
            <w:pPr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行使期限－由</w:t>
            </w:r>
          </w:p>
        </w:tc>
        <w:tc>
          <w:tcPr>
            <w:tcW w:w="400" w:type="pct"/>
          </w:tcPr>
          <w:p w:rsidR="0058416F" w:rsidRPr="00E54308" w:rsidRDefault="0058416F" w:rsidP="00266358">
            <w:pPr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行使期限－至</w:t>
            </w:r>
          </w:p>
        </w:tc>
        <w:tc>
          <w:tcPr>
            <w:tcW w:w="450" w:type="pct"/>
          </w:tcPr>
          <w:p w:rsidR="00F27018" w:rsidRPr="00E54308" w:rsidRDefault="0058416F" w:rsidP="0058416F">
            <w:pPr>
              <w:rPr>
                <w:sz w:val="16"/>
                <w:szCs w:val="16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</w:rPr>
              <w:t>行使價</w:t>
            </w:r>
          </w:p>
        </w:tc>
        <w:tc>
          <w:tcPr>
            <w:tcW w:w="450" w:type="pct"/>
          </w:tcPr>
          <w:p w:rsidR="00F27018" w:rsidRPr="00E54308" w:rsidRDefault="0058416F" w:rsidP="0058416F">
            <w:pPr>
              <w:rPr>
                <w:sz w:val="16"/>
                <w:szCs w:val="16"/>
                <w:lang w:eastAsia="zh-TW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  <w:lang w:eastAsia="zh-TW"/>
              </w:rPr>
              <w:t>已支付／已收取的期權金額</w:t>
            </w:r>
          </w:p>
        </w:tc>
        <w:tc>
          <w:tcPr>
            <w:tcW w:w="450" w:type="pct"/>
          </w:tcPr>
          <w:p w:rsidR="00F27018" w:rsidRPr="00E54308" w:rsidRDefault="0058416F" w:rsidP="0058416F">
            <w:pPr>
              <w:rPr>
                <w:sz w:val="16"/>
                <w:szCs w:val="16"/>
                <w:lang w:eastAsia="zh-TW"/>
              </w:rPr>
            </w:pPr>
            <w:r w:rsidRPr="00E54308">
              <w:rPr>
                <w:rFonts w:ascii="新細明體" w:hAnsi="新細明體" w:hint="eastAsia"/>
                <w:b/>
                <w:bCs/>
                <w:sz w:val="16"/>
                <w:szCs w:val="16"/>
                <w:lang w:eastAsia="zh-TW"/>
              </w:rPr>
              <w:t>交易後數額（包括與其訂有協議或達成諒解的任何人士的證券）</w:t>
            </w:r>
          </w:p>
        </w:tc>
      </w:tr>
      <w:tr w:rsidR="00F4511E" w:rsidRPr="00251CCF" w:rsidTr="006014DA">
        <w:trPr>
          <w:tblHeader/>
        </w:trPr>
        <w:tc>
          <w:tcPr>
            <w:tcW w:w="450" w:type="pct"/>
          </w:tcPr>
          <w:p w:rsidR="00976E3A" w:rsidRPr="00E54308" w:rsidRDefault="003A1FC8" w:rsidP="004B3458">
            <w:pPr>
              <w:widowControl/>
              <w:topLinePunct/>
              <w:adjustRightInd w:val="0"/>
              <w:rPr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梁永寧</w:t>
            </w:r>
          </w:p>
        </w:tc>
        <w:tc>
          <w:tcPr>
            <w:tcW w:w="400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rPr>
                <w:color w:val="5F497A"/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2015</w:t>
            </w:r>
            <w:r w:rsidRPr="00E54308">
              <w:rPr>
                <w:noProof/>
                <w:sz w:val="18"/>
                <w:szCs w:val="18"/>
              </w:rPr>
              <w:t>年</w:t>
            </w:r>
            <w:r w:rsidRPr="00E54308">
              <w:rPr>
                <w:noProof/>
                <w:sz w:val="18"/>
                <w:szCs w:val="18"/>
              </w:rPr>
              <w:t>10</w:t>
            </w:r>
            <w:r w:rsidRPr="00E54308">
              <w:rPr>
                <w:noProof/>
                <w:sz w:val="18"/>
                <w:szCs w:val="18"/>
              </w:rPr>
              <w:t>月</w:t>
            </w:r>
            <w:r w:rsidRPr="00E54308">
              <w:rPr>
                <w:noProof/>
                <w:sz w:val="18"/>
                <w:szCs w:val="18"/>
              </w:rPr>
              <w:t>12</w:t>
            </w:r>
            <w:r w:rsidRPr="00E54308">
              <w:rPr>
                <w:noProof/>
                <w:sz w:val="18"/>
                <w:szCs w:val="18"/>
              </w:rPr>
              <w:t>日</w:t>
            </w:r>
          </w:p>
        </w:tc>
        <w:tc>
          <w:tcPr>
            <w:tcW w:w="465" w:type="pct"/>
          </w:tcPr>
          <w:p w:rsidR="00976E3A" w:rsidRPr="00E54308" w:rsidRDefault="00976E3A" w:rsidP="00D471D9">
            <w:pPr>
              <w:widowControl/>
              <w:topLinePunct/>
              <w:adjustRightInd w:val="0"/>
              <w:rPr>
                <w:color w:val="5F497A"/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期權</w:t>
            </w:r>
          </w:p>
        </w:tc>
        <w:tc>
          <w:tcPr>
            <w:tcW w:w="467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rPr>
                <w:color w:val="5F497A"/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股票期權</w:t>
            </w:r>
          </w:p>
        </w:tc>
        <w:tc>
          <w:tcPr>
            <w:tcW w:w="618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rPr>
                <w:sz w:val="18"/>
                <w:szCs w:val="18"/>
                <w:lang w:eastAsia="zh-TW"/>
              </w:rPr>
            </w:pPr>
            <w:r w:rsidRPr="00E54308">
              <w:rPr>
                <w:noProof/>
                <w:sz w:val="18"/>
                <w:szCs w:val="18"/>
                <w:lang w:eastAsia="zh-TW"/>
              </w:rPr>
              <w:t>行使期權／在交易所買賣的期權合約</w:t>
            </w:r>
          </w:p>
        </w:tc>
        <w:tc>
          <w:tcPr>
            <w:tcW w:w="450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700,000</w:t>
            </w:r>
          </w:p>
        </w:tc>
        <w:tc>
          <w:tcPr>
            <w:tcW w:w="400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rPr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2013</w:t>
            </w:r>
            <w:r w:rsidRPr="00E54308">
              <w:rPr>
                <w:noProof/>
                <w:sz w:val="18"/>
                <w:szCs w:val="18"/>
              </w:rPr>
              <w:t>年</w:t>
            </w:r>
            <w:r w:rsidRPr="00E54308">
              <w:rPr>
                <w:noProof/>
                <w:sz w:val="18"/>
                <w:szCs w:val="18"/>
              </w:rPr>
              <w:t>12</w:t>
            </w:r>
            <w:r w:rsidRPr="00E54308">
              <w:rPr>
                <w:noProof/>
                <w:sz w:val="18"/>
                <w:szCs w:val="18"/>
              </w:rPr>
              <w:t>月</w:t>
            </w:r>
            <w:r w:rsidRPr="00E54308">
              <w:rPr>
                <w:noProof/>
                <w:sz w:val="18"/>
                <w:szCs w:val="18"/>
              </w:rPr>
              <w:t>18</w:t>
            </w:r>
            <w:r w:rsidRPr="00E54308">
              <w:rPr>
                <w:noProof/>
                <w:sz w:val="18"/>
                <w:szCs w:val="18"/>
              </w:rPr>
              <w:t>日</w:t>
            </w:r>
          </w:p>
        </w:tc>
        <w:tc>
          <w:tcPr>
            <w:tcW w:w="400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rPr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2023</w:t>
            </w:r>
            <w:r w:rsidRPr="00E54308">
              <w:rPr>
                <w:noProof/>
                <w:sz w:val="18"/>
                <w:szCs w:val="18"/>
              </w:rPr>
              <w:t>年</w:t>
            </w:r>
            <w:r w:rsidRPr="00E54308">
              <w:rPr>
                <w:noProof/>
                <w:sz w:val="18"/>
                <w:szCs w:val="18"/>
              </w:rPr>
              <w:t>12</w:t>
            </w:r>
            <w:r w:rsidRPr="00E54308">
              <w:rPr>
                <w:noProof/>
                <w:sz w:val="18"/>
                <w:szCs w:val="18"/>
              </w:rPr>
              <w:t>月</w:t>
            </w:r>
            <w:r w:rsidRPr="00E54308">
              <w:rPr>
                <w:noProof/>
                <w:sz w:val="18"/>
                <w:szCs w:val="18"/>
              </w:rPr>
              <w:t>17</w:t>
            </w:r>
            <w:r w:rsidRPr="00E54308">
              <w:rPr>
                <w:noProof/>
                <w:sz w:val="18"/>
                <w:szCs w:val="18"/>
              </w:rPr>
              <w:t>日</w:t>
            </w:r>
          </w:p>
        </w:tc>
        <w:tc>
          <w:tcPr>
            <w:tcW w:w="450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$0.1168</w:t>
            </w:r>
          </w:p>
        </w:tc>
        <w:tc>
          <w:tcPr>
            <w:tcW w:w="450" w:type="pct"/>
          </w:tcPr>
          <w:p w:rsidR="00976E3A" w:rsidRPr="00E54308" w:rsidRDefault="00323E61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$81,760.00</w:t>
            </w:r>
            <w:bookmarkStart w:id="1" w:name="_GoBack"/>
            <w:bookmarkEnd w:id="1"/>
          </w:p>
        </w:tc>
        <w:tc>
          <w:tcPr>
            <w:tcW w:w="450" w:type="pct"/>
          </w:tcPr>
          <w:p w:rsidR="00976E3A" w:rsidRPr="00E54308" w:rsidRDefault="00A07C16" w:rsidP="00D471D9">
            <w:pPr>
              <w:widowControl/>
              <w:topLinePunct/>
              <w:adjustRightInd w:val="0"/>
              <w:jc w:val="right"/>
              <w:rPr>
                <w:sz w:val="18"/>
                <w:szCs w:val="18"/>
              </w:rPr>
            </w:pPr>
            <w:r w:rsidRPr="00E54308">
              <w:rPr>
                <w:noProof/>
                <w:sz w:val="18"/>
                <w:szCs w:val="18"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9F6149" w:rsidP="00AC7B06">
      <w:pPr>
        <w:widowControl/>
        <w:topLinePunct/>
        <w:adjustRightInd w:val="0"/>
      </w:pPr>
      <w:r w:rsidRPr="00251CCF">
        <w:rPr>
          <w:noProof/>
          <w:color w:val="auto"/>
        </w:rPr>
        <w:t>梁永寧</w:t>
      </w:r>
      <w:r w:rsidR="005E3A8E" w:rsidRPr="000819AB">
        <w:rPr>
          <w:rFonts w:hAnsi="新細明體"/>
          <w:bCs/>
          <w:noProof/>
          <w:kern w:val="0"/>
        </w:rPr>
        <w:t>是</w:t>
      </w:r>
      <w:r w:rsidR="005E3A8E" w:rsidRPr="005E3A8E">
        <w:rPr>
          <w:rFonts w:hAnsi="新細明體" w:hint="eastAsia"/>
          <w:bCs/>
          <w:noProof/>
          <w:kern w:val="0"/>
        </w:rPr>
        <w:t>與</w:t>
      </w:r>
      <w:r w:rsidR="005E3A8E">
        <w:rPr>
          <w:noProof/>
        </w:rPr>
        <w:t>受要約公司</w:t>
      </w:r>
      <w:r w:rsidR="005E3A8E" w:rsidRPr="005E3A8E">
        <w:rPr>
          <w:rFonts w:hint="eastAsia"/>
        </w:rPr>
        <w:t>有關連的</w:t>
      </w:r>
      <w:r>
        <w:rPr>
          <w:noProof/>
        </w:rPr>
        <w:t>第</w:t>
      </w:r>
      <w:r>
        <w:rPr>
          <w:noProof/>
        </w:rPr>
        <w:t>(3)</w:t>
      </w:r>
      <w:r>
        <w:rPr>
          <w:noProof/>
        </w:rPr>
        <w:t>類別</w:t>
      </w:r>
      <w:r w:rsidR="005E3A8E" w:rsidRPr="005E3A8E">
        <w:rPr>
          <w:rFonts w:hint="eastAsia"/>
        </w:rPr>
        <w:t>聯繫人</w:t>
      </w:r>
      <w:r w:rsidR="005E3A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323E61" w:rsidRDefault="00BD6CD7" w:rsidP="00BD6CD7">
      <w:pPr>
        <w:widowControl/>
        <w:topLinePunct/>
        <w:adjustRightInd w:val="0"/>
        <w:rPr>
          <w:color w:val="auto"/>
        </w:rPr>
      </w:pPr>
    </w:p>
    <w:sectPr w:rsidR="00BD6CD7" w:rsidRPr="00323E61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3E61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4D7387D5-A971-487D-8BB1-C49625D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AF557-699E-4173-9C01-B96F5F2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2015-10-13T06:53:00Z</dcterms:created>
  <dcterms:modified xsi:type="dcterms:W3CDTF">2015-10-13T06:53:00Z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