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DEB" w:rsidRPr="006C357F" w:rsidRDefault="009E6E69" w:rsidP="007623C1">
      <w:pPr>
        <w:pStyle w:val="Default"/>
        <w:rPr>
          <w:b/>
          <w:bCs/>
          <w:iCs/>
        </w:rPr>
      </w:pPr>
      <w:r>
        <w:rPr>
          <w:b/>
          <w:bCs/>
          <w:iCs/>
        </w:rPr>
        <w:t>C</w:t>
      </w:r>
      <w:r w:rsidR="008422E1" w:rsidRPr="006C357F">
        <w:rPr>
          <w:b/>
          <w:bCs/>
          <w:iCs/>
        </w:rPr>
        <w:t xml:space="preserve">onfirmation from </w:t>
      </w:r>
      <w:r w:rsidR="00F3182B" w:rsidRPr="006C357F">
        <w:rPr>
          <w:b/>
          <w:bCs/>
          <w:iCs/>
        </w:rPr>
        <w:t xml:space="preserve">the </w:t>
      </w:r>
      <w:r w:rsidR="008422E1" w:rsidRPr="006C357F">
        <w:rPr>
          <w:b/>
          <w:bCs/>
          <w:iCs/>
        </w:rPr>
        <w:t xml:space="preserve">nominated approved person in support of </w:t>
      </w:r>
      <w:r w:rsidR="009E13C8" w:rsidRPr="006C357F">
        <w:rPr>
          <w:b/>
          <w:bCs/>
          <w:iCs/>
        </w:rPr>
        <w:t xml:space="preserve">an application for </w:t>
      </w:r>
      <w:r w:rsidR="00C521E6">
        <w:rPr>
          <w:b/>
          <w:bCs/>
          <w:iCs/>
        </w:rPr>
        <w:t>the nomination</w:t>
      </w:r>
      <w:r w:rsidR="008422E1" w:rsidRPr="006C357F">
        <w:rPr>
          <w:b/>
          <w:bCs/>
          <w:iCs/>
        </w:rPr>
        <w:t xml:space="preserve"> of approved person</w:t>
      </w:r>
      <w:r w:rsidR="009E13C8" w:rsidRPr="006C357F">
        <w:rPr>
          <w:b/>
          <w:bCs/>
          <w:iCs/>
        </w:rPr>
        <w:t xml:space="preserve"> in respect of </w:t>
      </w:r>
      <w:r w:rsidR="00CF7548">
        <w:rPr>
          <w:b/>
          <w:bCs/>
          <w:iCs/>
        </w:rPr>
        <w:t xml:space="preserve">unlisted </w:t>
      </w:r>
      <w:r w:rsidR="009E13C8" w:rsidRPr="006C357F">
        <w:rPr>
          <w:b/>
          <w:bCs/>
          <w:iCs/>
        </w:rPr>
        <w:t xml:space="preserve">structured </w:t>
      </w:r>
      <w:r>
        <w:rPr>
          <w:b/>
          <w:bCs/>
          <w:iCs/>
        </w:rPr>
        <w:t xml:space="preserve">investment </w:t>
      </w:r>
      <w:r w:rsidR="009E13C8" w:rsidRPr="006C357F">
        <w:rPr>
          <w:b/>
          <w:bCs/>
          <w:iCs/>
        </w:rPr>
        <w:t>product</w:t>
      </w:r>
      <w:r>
        <w:rPr>
          <w:b/>
          <w:bCs/>
          <w:iCs/>
        </w:rPr>
        <w:t>(s)</w:t>
      </w:r>
      <w:r w:rsidR="008422E1" w:rsidRPr="006C357F">
        <w:rPr>
          <w:b/>
          <w:bCs/>
          <w:iCs/>
        </w:rPr>
        <w:t xml:space="preserve"> </w:t>
      </w:r>
    </w:p>
    <w:p w:rsidR="009E13C8" w:rsidRDefault="009E13C8" w:rsidP="007623C1">
      <w:pPr>
        <w:pStyle w:val="Default"/>
        <w:rPr>
          <w:bCs/>
          <w:iCs/>
        </w:rPr>
      </w:pPr>
    </w:p>
    <w:p w:rsidR="009E6E69" w:rsidRDefault="009E6E69" w:rsidP="009E6E69">
      <w:pPr>
        <w:pStyle w:val="Default"/>
        <w:rPr>
          <w:bCs/>
          <w:iCs/>
        </w:rPr>
      </w:pPr>
      <w:r>
        <w:rPr>
          <w:bCs/>
          <w:iCs/>
        </w:rPr>
        <w:t>To: Securities and Futures Commission (“Commission”)</w:t>
      </w:r>
    </w:p>
    <w:p w:rsidR="009E6E69" w:rsidRDefault="009E6E69" w:rsidP="007623C1">
      <w:pPr>
        <w:pStyle w:val="Default"/>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689"/>
      </w:tblGrid>
      <w:tr w:rsidR="009E6E69" w:rsidTr="008D6DD2">
        <w:tc>
          <w:tcPr>
            <w:tcW w:w="2268" w:type="dxa"/>
          </w:tcPr>
          <w:p w:rsidR="009E6E69" w:rsidRDefault="009E6E69" w:rsidP="009E6E69">
            <w:pPr>
              <w:pStyle w:val="Default"/>
              <w:rPr>
                <w:bCs/>
                <w:iCs/>
              </w:rPr>
            </w:pPr>
            <w:r w:rsidRPr="00242CA1">
              <w:rPr>
                <w:bCs/>
                <w:iCs/>
              </w:rPr>
              <w:t xml:space="preserve">Name(s) of the </w:t>
            </w:r>
            <w:r w:rsidR="00CF7548">
              <w:rPr>
                <w:bCs/>
                <w:iCs/>
              </w:rPr>
              <w:t xml:space="preserve">unlisted </w:t>
            </w:r>
            <w:r>
              <w:rPr>
                <w:bCs/>
                <w:iCs/>
              </w:rPr>
              <w:t>structured investment product(s)          :</w:t>
            </w:r>
          </w:p>
        </w:tc>
        <w:tc>
          <w:tcPr>
            <w:tcW w:w="5689" w:type="dxa"/>
          </w:tcPr>
          <w:p w:rsidR="009E6E69" w:rsidRDefault="009E6E69" w:rsidP="000968FF">
            <w:pPr>
              <w:pStyle w:val="Default"/>
              <w:rPr>
                <w:bCs/>
                <w:iCs/>
              </w:rPr>
            </w:pPr>
          </w:p>
          <w:p w:rsidR="009E6E69" w:rsidRDefault="009E6E69" w:rsidP="000968FF">
            <w:pPr>
              <w:pStyle w:val="Default"/>
              <w:rPr>
                <w:bCs/>
                <w:iCs/>
              </w:rPr>
            </w:pPr>
          </w:p>
          <w:p w:rsidR="009E6E69" w:rsidRDefault="009E6E69" w:rsidP="000968FF">
            <w:pPr>
              <w:pStyle w:val="Default"/>
              <w:rPr>
                <w:bCs/>
                <w:iCs/>
              </w:rPr>
            </w:pPr>
          </w:p>
          <w:p w:rsidR="009E6E69" w:rsidRDefault="009E6E69" w:rsidP="000968FF">
            <w:pPr>
              <w:pStyle w:val="Default"/>
              <w:rPr>
                <w:bCs/>
                <w:iCs/>
              </w:rPr>
            </w:pPr>
            <w:r>
              <w:rPr>
                <w:bCs/>
                <w:iCs/>
              </w:rPr>
              <w:t>_________________________________________</w:t>
            </w:r>
          </w:p>
        </w:tc>
      </w:tr>
    </w:tbl>
    <w:p w:rsidR="009E6E69" w:rsidRPr="006C357F" w:rsidRDefault="009E6E69" w:rsidP="007623C1">
      <w:pPr>
        <w:pStyle w:val="Default"/>
        <w:rPr>
          <w:bCs/>
          <w:iCs/>
        </w:rPr>
      </w:pPr>
    </w:p>
    <w:p w:rsidR="008422E1" w:rsidRPr="006C357F" w:rsidRDefault="009E13C8" w:rsidP="007623C1">
      <w:pPr>
        <w:pStyle w:val="Default"/>
        <w:rPr>
          <w:bCs/>
          <w:i/>
          <w:iCs/>
        </w:rPr>
      </w:pPr>
      <w:r w:rsidRPr="006C357F">
        <w:rPr>
          <w:bCs/>
          <w:i/>
          <w:iCs/>
        </w:rPr>
        <w:t>(</w:t>
      </w:r>
      <w:r w:rsidR="009E6E69">
        <w:rPr>
          <w:bCs/>
          <w:i/>
          <w:iCs/>
        </w:rPr>
        <w:t>P</w:t>
      </w:r>
      <w:r w:rsidRPr="006C357F">
        <w:rPr>
          <w:bCs/>
          <w:i/>
          <w:iCs/>
        </w:rPr>
        <w:t xml:space="preserve">lease modify as appropriate to cater for </w:t>
      </w:r>
      <w:r w:rsidR="007D7AA1" w:rsidRPr="006C357F">
        <w:rPr>
          <w:bCs/>
          <w:i/>
          <w:iCs/>
        </w:rPr>
        <w:t xml:space="preserve">the specific </w:t>
      </w:r>
      <w:r w:rsidR="00E94B04" w:rsidRPr="006C357F">
        <w:rPr>
          <w:bCs/>
          <w:i/>
          <w:iCs/>
        </w:rPr>
        <w:t>a</w:t>
      </w:r>
      <w:r w:rsidR="007D7AA1" w:rsidRPr="006C357F">
        <w:rPr>
          <w:bCs/>
          <w:i/>
          <w:iCs/>
        </w:rPr>
        <w:t>pplication)</w:t>
      </w:r>
    </w:p>
    <w:p w:rsidR="009E13C8" w:rsidRPr="006C357F" w:rsidRDefault="009E13C8" w:rsidP="007623C1">
      <w:pPr>
        <w:pStyle w:val="Default"/>
      </w:pPr>
    </w:p>
    <w:p w:rsidR="007623C1" w:rsidRPr="006C357F" w:rsidRDefault="009E13C8" w:rsidP="007623C1">
      <w:pPr>
        <w:pStyle w:val="Default"/>
      </w:pPr>
      <w:r w:rsidRPr="006C357F">
        <w:t>I,</w:t>
      </w:r>
      <w:r w:rsidR="00D55B0E" w:rsidRPr="006C357F">
        <w:t xml:space="preserve"> </w:t>
      </w:r>
      <w:r w:rsidR="007623C1" w:rsidRPr="006C357F">
        <w:t xml:space="preserve">as the nominated approved person </w:t>
      </w:r>
      <w:r w:rsidR="00E94B04" w:rsidRPr="006C357F">
        <w:t>in respect of</w:t>
      </w:r>
      <w:r w:rsidR="007623C1" w:rsidRPr="006C357F">
        <w:t xml:space="preserve"> (a)</w:t>
      </w:r>
      <w:r w:rsidR="00E94B04" w:rsidRPr="006C357F">
        <w:t xml:space="preserve"> </w:t>
      </w:r>
      <w:r w:rsidR="00E94B04" w:rsidRPr="00451D4C">
        <w:t xml:space="preserve">the </w:t>
      </w:r>
      <w:r w:rsidR="00CF7548" w:rsidRPr="00451D4C">
        <w:t xml:space="preserve">unlisted </w:t>
      </w:r>
      <w:r w:rsidR="00E94B04" w:rsidRPr="00451D4C">
        <w:t xml:space="preserve">structured </w:t>
      </w:r>
      <w:r w:rsidR="009E6E69" w:rsidRPr="00451D4C">
        <w:t xml:space="preserve">investment </w:t>
      </w:r>
      <w:r w:rsidR="00E94B04" w:rsidRPr="00451D4C">
        <w:t>product(s)</w:t>
      </w:r>
      <w:r w:rsidR="00FA07C1" w:rsidRPr="00451D4C">
        <w:t xml:space="preserve"> mentioned above</w:t>
      </w:r>
      <w:r w:rsidR="00245EA9" w:rsidRPr="00451D4C">
        <w:t>;</w:t>
      </w:r>
      <w:r w:rsidR="00245EA9" w:rsidRPr="006C357F">
        <w:t xml:space="preserve"> </w:t>
      </w:r>
      <w:r w:rsidR="007623C1" w:rsidRPr="006C357F">
        <w:t xml:space="preserve">and (b) the issue of any related advertisement, invitation or document for the purpose of </w:t>
      </w:r>
      <w:r w:rsidR="008E7678" w:rsidRPr="006C357F">
        <w:t>section 104A(2)</w:t>
      </w:r>
      <w:r w:rsidR="007623C1" w:rsidRPr="006C357F">
        <w:t xml:space="preserve"> and section </w:t>
      </w:r>
      <w:r w:rsidR="007623C1" w:rsidRPr="00AB13EA">
        <w:t>105(2)</w:t>
      </w:r>
      <w:r w:rsidR="008E7678" w:rsidRPr="00AB13EA">
        <w:t xml:space="preserve"> </w:t>
      </w:r>
      <w:r w:rsidR="007623C1" w:rsidRPr="006C357F">
        <w:t xml:space="preserve">respectively of the Securities and Futures Ordinance, hereby confirm </w:t>
      </w:r>
      <w:r w:rsidR="00245EA9" w:rsidRPr="006C357F">
        <w:t xml:space="preserve">to the Commission </w:t>
      </w:r>
      <w:r w:rsidR="007623C1" w:rsidRPr="006C357F">
        <w:t xml:space="preserve">the following: </w:t>
      </w:r>
    </w:p>
    <w:p w:rsidR="00D55B0E" w:rsidRPr="006C357F" w:rsidRDefault="00D55B0E" w:rsidP="007623C1">
      <w:pPr>
        <w:pStyle w:val="Default"/>
      </w:pPr>
    </w:p>
    <w:p w:rsidR="00B36F7C" w:rsidRDefault="00B36F7C" w:rsidP="0055257B">
      <w:pPr>
        <w:pStyle w:val="Default"/>
        <w:numPr>
          <w:ilvl w:val="0"/>
          <w:numId w:val="4"/>
        </w:numPr>
        <w:spacing w:after="13"/>
        <w:ind w:left="360"/>
      </w:pPr>
      <w:r>
        <w:t xml:space="preserve">I am </w:t>
      </w:r>
      <w:r w:rsidR="001C1A76" w:rsidRPr="00AB13EA">
        <w:t>[</w:t>
      </w:r>
      <w:r w:rsidR="001C1A76" w:rsidRPr="00AB13EA">
        <w:rPr>
          <w:i/>
        </w:rPr>
        <w:t>(please delete as appropriate)</w:t>
      </w:r>
      <w:r w:rsidR="001C1A76" w:rsidRPr="002D5CFE">
        <w:rPr>
          <w:i/>
        </w:rPr>
        <w:t xml:space="preserve"> </w:t>
      </w:r>
      <w:r>
        <w:t>a director of the Issuer, or a director of any Guarantor, or the Responsible Officer or, where applicable, an Executive Officer of a Product Arranger</w:t>
      </w:r>
      <w:r w:rsidR="001C1A76" w:rsidRPr="00AB13EA">
        <w:t>]</w:t>
      </w:r>
      <w:r>
        <w:t>;</w:t>
      </w:r>
    </w:p>
    <w:p w:rsidR="00B36F7C" w:rsidRDefault="00B36F7C" w:rsidP="002D5CFE">
      <w:pPr>
        <w:pStyle w:val="Default"/>
        <w:spacing w:after="13"/>
        <w:ind w:left="360"/>
      </w:pPr>
    </w:p>
    <w:p w:rsidR="00B36F7C" w:rsidRDefault="00B36F7C" w:rsidP="0055257B">
      <w:pPr>
        <w:pStyle w:val="Default"/>
        <w:numPr>
          <w:ilvl w:val="0"/>
          <w:numId w:val="4"/>
        </w:numPr>
        <w:spacing w:after="13"/>
        <w:ind w:left="360"/>
      </w:pPr>
      <w:r>
        <w:t xml:space="preserve">I am licensed or registered in Hong Kong in respect of Type 1 or Type 4 regulated activities; </w:t>
      </w:r>
    </w:p>
    <w:p w:rsidR="00B36F7C" w:rsidRDefault="00B36F7C" w:rsidP="002D5CFE">
      <w:pPr>
        <w:pStyle w:val="Default"/>
        <w:spacing w:after="13"/>
        <w:ind w:left="360"/>
      </w:pPr>
    </w:p>
    <w:p w:rsidR="007623C1" w:rsidRPr="006C357F" w:rsidRDefault="007623C1" w:rsidP="0055257B">
      <w:pPr>
        <w:pStyle w:val="Default"/>
        <w:numPr>
          <w:ilvl w:val="0"/>
          <w:numId w:val="4"/>
        </w:numPr>
        <w:spacing w:after="13"/>
        <w:ind w:left="360"/>
      </w:pPr>
      <w:r w:rsidRPr="006C357F">
        <w:t xml:space="preserve">I have my ordinary residence in Hong Kong; </w:t>
      </w:r>
    </w:p>
    <w:p w:rsidR="00FE5BE5" w:rsidRPr="006C357F" w:rsidRDefault="00FE5BE5" w:rsidP="0055257B">
      <w:pPr>
        <w:pStyle w:val="Default"/>
        <w:spacing w:after="13"/>
        <w:ind w:hanging="426"/>
      </w:pPr>
    </w:p>
    <w:p w:rsidR="00076723" w:rsidRPr="006C357F" w:rsidRDefault="007623C1" w:rsidP="0055257B">
      <w:pPr>
        <w:pStyle w:val="Default"/>
        <w:numPr>
          <w:ilvl w:val="0"/>
          <w:numId w:val="4"/>
        </w:numPr>
        <w:spacing w:after="13"/>
        <w:ind w:left="360"/>
      </w:pPr>
      <w:r w:rsidRPr="006C357F">
        <w:t xml:space="preserve">My contact details </w:t>
      </w:r>
      <w:r w:rsidR="00456D05" w:rsidRPr="006C357F">
        <w:t xml:space="preserve">set out in the </w:t>
      </w:r>
      <w:r w:rsidR="002D5CFE">
        <w:t>[</w:t>
      </w:r>
      <w:r w:rsidR="002D5CFE" w:rsidRPr="002D5CFE">
        <w:rPr>
          <w:i/>
        </w:rPr>
        <w:t xml:space="preserve">(please delete as appropriate) </w:t>
      </w:r>
      <w:r w:rsidR="002D5CFE">
        <w:t xml:space="preserve">Application Form for Unit Trusts and Mutual Funds, Investment-Linked Assurance Schemes and Unlisted Structured Investment Products / </w:t>
      </w:r>
      <w:r w:rsidR="00456D05" w:rsidRPr="006C357F">
        <w:t>nomination letter</w:t>
      </w:r>
      <w:r w:rsidR="0013631F">
        <w:t>]</w:t>
      </w:r>
      <w:r w:rsidR="00456D05" w:rsidRPr="006C357F">
        <w:t xml:space="preserve"> from </w:t>
      </w:r>
      <w:r w:rsidR="004B33FF">
        <w:t xml:space="preserve">______________________ </w:t>
      </w:r>
      <w:r w:rsidR="00456D05" w:rsidRPr="006C357F">
        <w:t>[</w:t>
      </w:r>
      <w:r w:rsidR="00456D05" w:rsidRPr="006C357F">
        <w:rPr>
          <w:i/>
        </w:rPr>
        <w:t xml:space="preserve">please specify the applicant] </w:t>
      </w:r>
      <w:r w:rsidR="00C5719D" w:rsidRPr="006C357F">
        <w:t>are accurate and up-to-date;</w:t>
      </w:r>
    </w:p>
    <w:p w:rsidR="00076723" w:rsidRPr="006C357F" w:rsidRDefault="00076723" w:rsidP="0055257B">
      <w:pPr>
        <w:pStyle w:val="Default"/>
        <w:spacing w:after="13"/>
        <w:ind w:hanging="426"/>
      </w:pPr>
    </w:p>
    <w:p w:rsidR="007623C1" w:rsidRPr="006C357F" w:rsidRDefault="007623C1" w:rsidP="0055257B">
      <w:pPr>
        <w:pStyle w:val="Default"/>
        <w:numPr>
          <w:ilvl w:val="0"/>
          <w:numId w:val="4"/>
        </w:numPr>
        <w:spacing w:after="13"/>
        <w:ind w:left="360"/>
      </w:pPr>
      <w:r w:rsidRPr="006C357F">
        <w:t xml:space="preserve">I am capable of being contacted by the Commission by post, telephone, facsimile and electronic mail during business hours; </w:t>
      </w:r>
    </w:p>
    <w:p w:rsidR="00FE5BE5" w:rsidRPr="006C357F" w:rsidRDefault="00FE5BE5" w:rsidP="0055257B">
      <w:pPr>
        <w:pStyle w:val="Default"/>
        <w:spacing w:after="13"/>
        <w:ind w:hanging="426"/>
      </w:pPr>
    </w:p>
    <w:p w:rsidR="00FE5BE5" w:rsidRPr="006C357F" w:rsidRDefault="007623C1" w:rsidP="0055257B">
      <w:pPr>
        <w:pStyle w:val="Default"/>
        <w:numPr>
          <w:ilvl w:val="0"/>
          <w:numId w:val="4"/>
        </w:numPr>
        <w:spacing w:after="13"/>
        <w:ind w:left="360"/>
      </w:pPr>
      <w:r w:rsidRPr="006C357F">
        <w:t>I will inform the Commission of any change in my contact details within 14 days after the change takes place; and</w:t>
      </w:r>
    </w:p>
    <w:p w:rsidR="007623C1" w:rsidRPr="006C357F" w:rsidRDefault="007623C1" w:rsidP="0055257B">
      <w:pPr>
        <w:pStyle w:val="Default"/>
        <w:spacing w:after="13"/>
        <w:ind w:left="-294" w:hanging="366"/>
      </w:pPr>
    </w:p>
    <w:p w:rsidR="007623C1" w:rsidRPr="006C357F" w:rsidRDefault="007623C1" w:rsidP="0055257B">
      <w:pPr>
        <w:pStyle w:val="Default"/>
        <w:numPr>
          <w:ilvl w:val="0"/>
          <w:numId w:val="4"/>
        </w:numPr>
        <w:ind w:left="360"/>
      </w:pPr>
      <w:r w:rsidRPr="006C357F">
        <w:t xml:space="preserve">I will comply with any other requirements as the Commission considers appropriate. </w:t>
      </w:r>
    </w:p>
    <w:p w:rsidR="00F469F9" w:rsidRPr="006C357F" w:rsidRDefault="00F469F9" w:rsidP="00F469F9">
      <w:pPr>
        <w:pStyle w:val="ListParagraph"/>
        <w:rPr>
          <w:rFonts w:ascii="Arial" w:hAnsi="Arial" w:cs="Arial"/>
          <w:color w:val="000000"/>
          <w:sz w:val="24"/>
          <w:szCs w:val="24"/>
        </w:rPr>
      </w:pPr>
    </w:p>
    <w:p w:rsidR="00F469F9" w:rsidRPr="006C357F" w:rsidRDefault="00F469F9" w:rsidP="00F469F9">
      <w:pPr>
        <w:pStyle w:val="Default"/>
      </w:pPr>
      <w:r w:rsidRPr="006C357F">
        <w:t xml:space="preserve">I also confirm to the Commission that I have read and understood the Personal Information Collection Statement (“PICS”) </w:t>
      </w:r>
      <w:r w:rsidR="004B33FF">
        <w:t xml:space="preserve">set out below </w:t>
      </w:r>
      <w:r w:rsidR="00395FEF" w:rsidRPr="006C357F">
        <w:t xml:space="preserve">and </w:t>
      </w:r>
      <w:r w:rsidRPr="006C357F">
        <w:t>consent to the use by the Commission of my Personal Data (as defined in the PICS) I have provided and may provide in the future, for the purposes described in the PICS.</w:t>
      </w:r>
    </w:p>
    <w:p w:rsidR="00F469F9" w:rsidRPr="006C357F" w:rsidRDefault="00F469F9" w:rsidP="00F469F9">
      <w:pPr>
        <w:pStyle w:val="Default"/>
        <w:ind w:left="360"/>
      </w:pPr>
    </w:p>
    <w:tbl>
      <w:tblPr>
        <w:tblW w:w="8472" w:type="dxa"/>
        <w:tblInd w:w="-108" w:type="dxa"/>
        <w:tblBorders>
          <w:top w:val="nil"/>
          <w:left w:val="nil"/>
          <w:bottom w:val="nil"/>
          <w:right w:val="nil"/>
        </w:tblBorders>
        <w:tblLayout w:type="fixed"/>
        <w:tblLook w:val="0000" w:firstRow="0" w:lastRow="0" w:firstColumn="0" w:lastColumn="0" w:noHBand="0" w:noVBand="0"/>
      </w:tblPr>
      <w:tblGrid>
        <w:gridCol w:w="3936"/>
        <w:gridCol w:w="4536"/>
      </w:tblGrid>
      <w:tr w:rsidR="007623C1" w:rsidRPr="006C357F" w:rsidTr="00641004">
        <w:trPr>
          <w:trHeight w:val="93"/>
        </w:trPr>
        <w:tc>
          <w:tcPr>
            <w:tcW w:w="3936" w:type="dxa"/>
          </w:tcPr>
          <w:p w:rsidR="00FE5BE5" w:rsidRPr="006C357F" w:rsidRDefault="00FE5BE5">
            <w:pPr>
              <w:pStyle w:val="Default"/>
            </w:pPr>
            <w:r w:rsidRPr="006C357F">
              <w:lastRenderedPageBreak/>
              <w:t>Signed by</w:t>
            </w:r>
            <w:r w:rsidR="008F68D7" w:rsidRPr="006C357F">
              <w:t>:</w:t>
            </w:r>
          </w:p>
          <w:p w:rsidR="007623C1" w:rsidRDefault="007623C1">
            <w:pPr>
              <w:pStyle w:val="Default"/>
            </w:pPr>
            <w:r w:rsidRPr="006C357F">
              <w:t xml:space="preserve">Name of the nominated approved person </w:t>
            </w:r>
          </w:p>
          <w:p w:rsidR="007319DC" w:rsidRPr="006C357F" w:rsidRDefault="007319DC">
            <w:pPr>
              <w:pStyle w:val="Default"/>
            </w:pPr>
          </w:p>
        </w:tc>
        <w:tc>
          <w:tcPr>
            <w:tcW w:w="4536" w:type="dxa"/>
          </w:tcPr>
          <w:p w:rsidR="00FE5BE5" w:rsidRPr="006C357F" w:rsidRDefault="00FE5BE5">
            <w:pPr>
              <w:pStyle w:val="Default"/>
            </w:pPr>
          </w:p>
          <w:p w:rsidR="007623C1" w:rsidRPr="006C357F" w:rsidRDefault="00FE5BE5">
            <w:pPr>
              <w:pStyle w:val="Default"/>
            </w:pPr>
            <w:r w:rsidRPr="006C357F">
              <w:t>:</w:t>
            </w:r>
            <w:r w:rsidR="008F68D7" w:rsidRPr="006C357F">
              <w:t xml:space="preserve"> </w:t>
            </w:r>
            <w:r w:rsidR="008D6DD2">
              <w:rPr>
                <w:bCs/>
                <w:iCs/>
              </w:rPr>
              <w:t>________________________</w:t>
            </w:r>
          </w:p>
        </w:tc>
      </w:tr>
      <w:tr w:rsidR="007623C1" w:rsidRPr="006C357F" w:rsidTr="00641004">
        <w:trPr>
          <w:trHeight w:val="93"/>
        </w:trPr>
        <w:tc>
          <w:tcPr>
            <w:tcW w:w="3936" w:type="dxa"/>
          </w:tcPr>
          <w:p w:rsidR="007623C1" w:rsidRPr="006C357F" w:rsidRDefault="007623C1">
            <w:pPr>
              <w:pStyle w:val="Default"/>
            </w:pPr>
            <w:r w:rsidRPr="006C357F">
              <w:t xml:space="preserve">Signature </w:t>
            </w:r>
          </w:p>
        </w:tc>
        <w:tc>
          <w:tcPr>
            <w:tcW w:w="4536" w:type="dxa"/>
          </w:tcPr>
          <w:p w:rsidR="007623C1" w:rsidRPr="006C357F" w:rsidRDefault="007623C1">
            <w:pPr>
              <w:pStyle w:val="Default"/>
            </w:pPr>
            <w:r w:rsidRPr="006C357F">
              <w:t xml:space="preserve">: </w:t>
            </w:r>
            <w:r w:rsidR="008D6DD2">
              <w:rPr>
                <w:bCs/>
                <w:iCs/>
              </w:rPr>
              <w:t>________________________</w:t>
            </w:r>
          </w:p>
        </w:tc>
      </w:tr>
      <w:tr w:rsidR="007623C1" w:rsidRPr="006C357F" w:rsidTr="00641004">
        <w:trPr>
          <w:trHeight w:val="93"/>
        </w:trPr>
        <w:tc>
          <w:tcPr>
            <w:tcW w:w="3936" w:type="dxa"/>
          </w:tcPr>
          <w:p w:rsidR="008F68D7" w:rsidRPr="006C357F" w:rsidRDefault="008F68D7">
            <w:pPr>
              <w:pStyle w:val="Default"/>
            </w:pPr>
          </w:p>
          <w:p w:rsidR="007623C1" w:rsidRPr="006C357F" w:rsidRDefault="007623C1">
            <w:pPr>
              <w:pStyle w:val="Default"/>
            </w:pPr>
            <w:r w:rsidRPr="006C357F">
              <w:t xml:space="preserve">Date (date / month / year) </w:t>
            </w:r>
          </w:p>
        </w:tc>
        <w:tc>
          <w:tcPr>
            <w:tcW w:w="4536" w:type="dxa"/>
          </w:tcPr>
          <w:p w:rsidR="008F68D7" w:rsidRPr="006C357F" w:rsidRDefault="008F68D7">
            <w:pPr>
              <w:pStyle w:val="Default"/>
            </w:pPr>
          </w:p>
          <w:p w:rsidR="007623C1" w:rsidRPr="006C357F" w:rsidRDefault="007623C1">
            <w:pPr>
              <w:pStyle w:val="Default"/>
            </w:pPr>
            <w:r w:rsidRPr="006C357F">
              <w:t xml:space="preserve">: </w:t>
            </w:r>
            <w:r w:rsidR="008D6DD2">
              <w:rPr>
                <w:bCs/>
                <w:iCs/>
              </w:rPr>
              <w:t>________________________</w:t>
            </w:r>
          </w:p>
        </w:tc>
      </w:tr>
    </w:tbl>
    <w:p w:rsidR="009A69D1" w:rsidRDefault="009A69D1" w:rsidP="00D23C6D">
      <w:pPr>
        <w:jc w:val="center"/>
        <w:rPr>
          <w:rFonts w:ascii="Arial" w:hAnsi="Arial" w:cs="Arial"/>
          <w:b/>
          <w:bCs/>
          <w:iCs/>
          <w:color w:val="000000"/>
          <w:sz w:val="24"/>
          <w:szCs w:val="24"/>
          <w:u w:val="single"/>
        </w:rPr>
      </w:pPr>
    </w:p>
    <w:p w:rsidR="00FB1F71" w:rsidRDefault="00FB1F71" w:rsidP="00D23C6D">
      <w:pPr>
        <w:jc w:val="center"/>
        <w:rPr>
          <w:rFonts w:ascii="Arial" w:hAnsi="Arial" w:cs="Arial"/>
          <w:b/>
          <w:bCs/>
          <w:iCs/>
          <w:color w:val="000000"/>
          <w:sz w:val="24"/>
          <w:szCs w:val="24"/>
          <w:u w:val="single"/>
        </w:rPr>
      </w:pPr>
    </w:p>
    <w:p w:rsidR="00FB1F71" w:rsidRDefault="00FB1F71" w:rsidP="00D23C6D">
      <w:pPr>
        <w:jc w:val="center"/>
        <w:rPr>
          <w:rFonts w:ascii="Arial" w:hAnsi="Arial" w:cs="Arial"/>
          <w:b/>
          <w:bCs/>
          <w:iCs/>
          <w:color w:val="000000"/>
          <w:sz w:val="24"/>
          <w:szCs w:val="24"/>
          <w:u w:val="single"/>
        </w:rPr>
      </w:pPr>
    </w:p>
    <w:p w:rsidR="00FB1F71" w:rsidRDefault="00FB1F71" w:rsidP="00D23C6D">
      <w:pPr>
        <w:jc w:val="center"/>
        <w:rPr>
          <w:rFonts w:ascii="Arial" w:hAnsi="Arial" w:cs="Arial"/>
          <w:b/>
          <w:bCs/>
          <w:iCs/>
          <w:color w:val="000000"/>
          <w:sz w:val="24"/>
          <w:szCs w:val="24"/>
          <w:u w:val="single"/>
        </w:rPr>
      </w:pPr>
    </w:p>
    <w:p w:rsidR="00FB1F71" w:rsidRDefault="00FB1F71" w:rsidP="00D23C6D">
      <w:pPr>
        <w:jc w:val="center"/>
        <w:rPr>
          <w:rFonts w:ascii="Arial" w:hAnsi="Arial" w:cs="Arial"/>
          <w:b/>
          <w:bCs/>
          <w:iCs/>
          <w:color w:val="000000"/>
          <w:sz w:val="24"/>
          <w:szCs w:val="24"/>
          <w:u w:val="single"/>
        </w:rPr>
      </w:pPr>
    </w:p>
    <w:p w:rsidR="00FB1F71" w:rsidRDefault="00FB1F71" w:rsidP="00D23C6D">
      <w:pPr>
        <w:jc w:val="center"/>
        <w:rPr>
          <w:rFonts w:ascii="Arial" w:hAnsi="Arial" w:cs="Arial"/>
          <w:b/>
          <w:bCs/>
          <w:iCs/>
          <w:color w:val="000000"/>
          <w:sz w:val="24"/>
          <w:szCs w:val="24"/>
          <w:u w:val="single"/>
        </w:rPr>
      </w:pPr>
    </w:p>
    <w:p w:rsidR="00FB1F71" w:rsidRDefault="00FB1F71" w:rsidP="00D23C6D">
      <w:pPr>
        <w:jc w:val="center"/>
        <w:rPr>
          <w:rFonts w:ascii="Arial" w:hAnsi="Arial" w:cs="Arial"/>
          <w:b/>
          <w:bCs/>
          <w:iCs/>
          <w:color w:val="000000"/>
          <w:sz w:val="24"/>
          <w:szCs w:val="24"/>
          <w:u w:val="single"/>
        </w:rPr>
      </w:pPr>
    </w:p>
    <w:p w:rsidR="00FB1F71" w:rsidRDefault="00FB1F71" w:rsidP="00D23C6D">
      <w:pPr>
        <w:jc w:val="center"/>
        <w:rPr>
          <w:rFonts w:ascii="Arial" w:hAnsi="Arial" w:cs="Arial"/>
          <w:b/>
          <w:bCs/>
          <w:iCs/>
          <w:color w:val="000000"/>
          <w:sz w:val="24"/>
          <w:szCs w:val="24"/>
          <w:u w:val="single"/>
        </w:rPr>
      </w:pPr>
    </w:p>
    <w:p w:rsidR="00FB1F71" w:rsidRDefault="00FB1F71" w:rsidP="00D23C6D">
      <w:pPr>
        <w:jc w:val="center"/>
        <w:rPr>
          <w:rFonts w:ascii="Arial" w:hAnsi="Arial" w:cs="Arial"/>
          <w:b/>
          <w:bCs/>
          <w:iCs/>
          <w:color w:val="000000"/>
          <w:sz w:val="24"/>
          <w:szCs w:val="24"/>
          <w:u w:val="single"/>
        </w:rPr>
      </w:pPr>
    </w:p>
    <w:p w:rsidR="00FB1F71" w:rsidRDefault="00FB1F71" w:rsidP="00D23C6D">
      <w:pPr>
        <w:jc w:val="center"/>
        <w:rPr>
          <w:rFonts w:ascii="Arial" w:hAnsi="Arial" w:cs="Arial"/>
          <w:b/>
          <w:bCs/>
          <w:iCs/>
          <w:color w:val="000000"/>
          <w:sz w:val="24"/>
          <w:szCs w:val="24"/>
          <w:u w:val="single"/>
        </w:rPr>
      </w:pPr>
    </w:p>
    <w:p w:rsidR="00FB1F71" w:rsidRDefault="00FB1F71" w:rsidP="00D23C6D">
      <w:pPr>
        <w:jc w:val="center"/>
        <w:rPr>
          <w:rFonts w:ascii="Arial" w:hAnsi="Arial" w:cs="Arial"/>
          <w:b/>
          <w:bCs/>
          <w:iCs/>
          <w:color w:val="000000"/>
          <w:sz w:val="24"/>
          <w:szCs w:val="24"/>
          <w:u w:val="single"/>
        </w:rPr>
      </w:pPr>
    </w:p>
    <w:p w:rsidR="00FB1F71" w:rsidRDefault="00FB1F71" w:rsidP="00D23C6D">
      <w:pPr>
        <w:jc w:val="center"/>
        <w:rPr>
          <w:rFonts w:ascii="Arial" w:hAnsi="Arial" w:cs="Arial"/>
          <w:b/>
          <w:bCs/>
          <w:iCs/>
          <w:color w:val="000000"/>
          <w:sz w:val="24"/>
          <w:szCs w:val="24"/>
          <w:u w:val="single"/>
        </w:rPr>
      </w:pPr>
    </w:p>
    <w:p w:rsidR="00FB1F71" w:rsidRDefault="00FB1F71" w:rsidP="00D23C6D">
      <w:pPr>
        <w:jc w:val="center"/>
        <w:rPr>
          <w:rFonts w:ascii="Arial" w:hAnsi="Arial" w:cs="Arial"/>
          <w:b/>
          <w:bCs/>
          <w:iCs/>
          <w:color w:val="000000"/>
          <w:sz w:val="24"/>
          <w:szCs w:val="24"/>
          <w:u w:val="single"/>
        </w:rPr>
      </w:pPr>
    </w:p>
    <w:p w:rsidR="00FB1F71" w:rsidRDefault="00FB1F71" w:rsidP="00D23C6D">
      <w:pPr>
        <w:jc w:val="center"/>
        <w:rPr>
          <w:rFonts w:ascii="Arial" w:hAnsi="Arial" w:cs="Arial"/>
          <w:b/>
          <w:bCs/>
          <w:iCs/>
          <w:color w:val="000000"/>
          <w:sz w:val="24"/>
          <w:szCs w:val="24"/>
          <w:u w:val="single"/>
        </w:rPr>
      </w:pPr>
    </w:p>
    <w:p w:rsidR="00FB1F71" w:rsidRDefault="00FB1F71" w:rsidP="00D23C6D">
      <w:pPr>
        <w:jc w:val="center"/>
        <w:rPr>
          <w:rFonts w:ascii="Arial" w:hAnsi="Arial" w:cs="Arial"/>
          <w:b/>
          <w:bCs/>
          <w:iCs/>
          <w:color w:val="000000"/>
          <w:sz w:val="24"/>
          <w:szCs w:val="24"/>
          <w:u w:val="single"/>
        </w:rPr>
      </w:pPr>
    </w:p>
    <w:p w:rsidR="00FB1F71" w:rsidRDefault="00FB1F71" w:rsidP="00D23C6D">
      <w:pPr>
        <w:jc w:val="center"/>
        <w:rPr>
          <w:rFonts w:ascii="Arial" w:hAnsi="Arial" w:cs="Arial"/>
          <w:b/>
          <w:bCs/>
          <w:iCs/>
          <w:color w:val="000000"/>
          <w:sz w:val="24"/>
          <w:szCs w:val="24"/>
          <w:u w:val="single"/>
        </w:rPr>
      </w:pPr>
    </w:p>
    <w:p w:rsidR="00FB1F71" w:rsidRDefault="00FB1F71" w:rsidP="00D23C6D">
      <w:pPr>
        <w:jc w:val="center"/>
        <w:rPr>
          <w:rFonts w:ascii="Arial" w:hAnsi="Arial" w:cs="Arial"/>
          <w:b/>
          <w:bCs/>
          <w:iCs/>
          <w:color w:val="000000"/>
          <w:sz w:val="24"/>
          <w:szCs w:val="24"/>
          <w:u w:val="single"/>
        </w:rPr>
      </w:pPr>
    </w:p>
    <w:p w:rsidR="00FB1F71" w:rsidRDefault="00FB1F71" w:rsidP="00D23C6D">
      <w:pPr>
        <w:jc w:val="center"/>
        <w:rPr>
          <w:rFonts w:ascii="Arial" w:hAnsi="Arial" w:cs="Arial"/>
          <w:b/>
          <w:bCs/>
          <w:iCs/>
          <w:color w:val="000000"/>
          <w:sz w:val="24"/>
          <w:szCs w:val="24"/>
          <w:u w:val="single"/>
        </w:rPr>
      </w:pPr>
    </w:p>
    <w:p w:rsidR="00FB1F71" w:rsidRDefault="00FB1F71" w:rsidP="00D23C6D">
      <w:pPr>
        <w:jc w:val="center"/>
        <w:rPr>
          <w:rFonts w:ascii="Arial" w:hAnsi="Arial" w:cs="Arial"/>
          <w:b/>
          <w:bCs/>
          <w:iCs/>
          <w:color w:val="000000"/>
          <w:sz w:val="24"/>
          <w:szCs w:val="24"/>
          <w:u w:val="single"/>
        </w:rPr>
      </w:pPr>
    </w:p>
    <w:p w:rsidR="00FB1F71" w:rsidRDefault="00FB1F71" w:rsidP="00D23C6D">
      <w:pPr>
        <w:jc w:val="center"/>
        <w:rPr>
          <w:rFonts w:ascii="Arial" w:hAnsi="Arial" w:cs="Arial"/>
          <w:b/>
          <w:bCs/>
          <w:iCs/>
          <w:color w:val="000000"/>
          <w:sz w:val="24"/>
          <w:szCs w:val="24"/>
          <w:u w:val="single"/>
        </w:rPr>
      </w:pPr>
    </w:p>
    <w:p w:rsidR="00FB1F71" w:rsidRDefault="00FB1F71" w:rsidP="00D23C6D">
      <w:pPr>
        <w:jc w:val="center"/>
        <w:rPr>
          <w:rFonts w:ascii="Arial" w:hAnsi="Arial" w:cs="Arial"/>
          <w:b/>
          <w:bCs/>
          <w:iCs/>
          <w:color w:val="000000"/>
          <w:sz w:val="24"/>
          <w:szCs w:val="24"/>
          <w:u w:val="single"/>
        </w:rPr>
      </w:pPr>
    </w:p>
    <w:p w:rsidR="00FB1F71" w:rsidRDefault="00FB1F71" w:rsidP="00D23C6D">
      <w:pPr>
        <w:jc w:val="center"/>
        <w:rPr>
          <w:rFonts w:ascii="Arial" w:hAnsi="Arial" w:cs="Arial"/>
          <w:b/>
          <w:bCs/>
          <w:iCs/>
          <w:color w:val="000000"/>
          <w:sz w:val="24"/>
          <w:szCs w:val="24"/>
          <w:u w:val="single"/>
        </w:rPr>
      </w:pPr>
    </w:p>
    <w:p w:rsidR="00FB1F71" w:rsidRDefault="00FB1F71" w:rsidP="00D23C6D">
      <w:pPr>
        <w:jc w:val="center"/>
        <w:rPr>
          <w:rFonts w:ascii="Arial" w:hAnsi="Arial" w:cs="Arial"/>
          <w:b/>
          <w:bCs/>
          <w:iCs/>
          <w:color w:val="000000"/>
          <w:sz w:val="24"/>
          <w:szCs w:val="24"/>
          <w:u w:val="single"/>
        </w:rPr>
      </w:pPr>
    </w:p>
    <w:p w:rsidR="00FB1F71" w:rsidRDefault="00FB1F71" w:rsidP="00D23C6D">
      <w:pPr>
        <w:jc w:val="center"/>
        <w:rPr>
          <w:rFonts w:ascii="Arial" w:hAnsi="Arial" w:cs="Arial"/>
          <w:b/>
          <w:bCs/>
          <w:iCs/>
          <w:color w:val="000000"/>
          <w:sz w:val="24"/>
          <w:szCs w:val="24"/>
          <w:u w:val="single"/>
        </w:rPr>
      </w:pPr>
    </w:p>
    <w:p w:rsidR="00FB1F71" w:rsidRDefault="00FB1F71" w:rsidP="00D23C6D">
      <w:pPr>
        <w:jc w:val="center"/>
        <w:rPr>
          <w:rFonts w:ascii="Arial" w:hAnsi="Arial" w:cs="Arial"/>
          <w:b/>
          <w:bCs/>
          <w:iCs/>
          <w:color w:val="000000"/>
          <w:sz w:val="24"/>
          <w:szCs w:val="24"/>
          <w:u w:val="single"/>
        </w:rPr>
      </w:pPr>
    </w:p>
    <w:p w:rsidR="00227F8B" w:rsidRDefault="00227F8B" w:rsidP="00FB1F71">
      <w:pPr>
        <w:spacing w:after="240" w:line="240" w:lineRule="auto"/>
        <w:ind w:left="227" w:hanging="851"/>
        <w:jc w:val="center"/>
        <w:rPr>
          <w:rFonts w:ascii="Arial" w:eastAsia="新細明體" w:hAnsi="Arial" w:cs="Arial"/>
          <w:b/>
          <w:sz w:val="20"/>
          <w:szCs w:val="20"/>
          <w:u w:val="single"/>
        </w:rPr>
      </w:pPr>
    </w:p>
    <w:p w:rsidR="005C61A1" w:rsidRDefault="005C61A1" w:rsidP="005C61A1">
      <w:pPr>
        <w:spacing w:after="240" w:line="240" w:lineRule="auto"/>
        <w:ind w:left="227" w:hanging="851"/>
        <w:jc w:val="center"/>
        <w:rPr>
          <w:rFonts w:ascii="Arial" w:eastAsia="新細明體" w:hAnsi="Arial" w:cs="Arial"/>
          <w:b/>
          <w:sz w:val="20"/>
          <w:szCs w:val="20"/>
          <w:u w:val="single"/>
        </w:rPr>
      </w:pPr>
      <w:r>
        <w:rPr>
          <w:rFonts w:ascii="Arial" w:eastAsia="新細明體" w:hAnsi="Arial" w:cs="Arial"/>
          <w:b/>
          <w:sz w:val="20"/>
          <w:szCs w:val="20"/>
          <w:u w:val="single"/>
        </w:rPr>
        <w:lastRenderedPageBreak/>
        <w:t>Personal Information Collection Statement</w:t>
      </w:r>
    </w:p>
    <w:p w:rsidR="005C61A1" w:rsidRDefault="005C61A1" w:rsidP="005C61A1">
      <w:pPr>
        <w:numPr>
          <w:ilvl w:val="0"/>
          <w:numId w:val="7"/>
        </w:numPr>
        <w:tabs>
          <w:tab w:val="clear" w:pos="851"/>
          <w:tab w:val="num" w:pos="567"/>
          <w:tab w:val="num" w:pos="993"/>
          <w:tab w:val="num" w:pos="1276"/>
        </w:tabs>
        <w:spacing w:after="240" w:line="240" w:lineRule="auto"/>
        <w:ind w:left="567" w:hanging="567"/>
        <w:jc w:val="both"/>
        <w:rPr>
          <w:rFonts w:ascii="Arial" w:eastAsia="新細明體" w:hAnsi="Arial" w:cs="Arial"/>
          <w:sz w:val="20"/>
          <w:szCs w:val="20"/>
        </w:rPr>
      </w:pPr>
      <w:r>
        <w:rPr>
          <w:rFonts w:ascii="Arial" w:eastAsia="新細明體" w:hAnsi="Arial" w:cs="Arial"/>
          <w:sz w:val="20"/>
          <w:szCs w:val="20"/>
        </w:rPr>
        <w:t>This Personal Information Collection Statement (“</w:t>
      </w:r>
      <w:r>
        <w:rPr>
          <w:rFonts w:ascii="Arial" w:eastAsia="新細明體" w:hAnsi="Arial" w:cs="Arial"/>
          <w:b/>
          <w:sz w:val="20"/>
          <w:szCs w:val="20"/>
        </w:rPr>
        <w:t>PICS</w:t>
      </w:r>
      <w:r>
        <w:rPr>
          <w:rFonts w:ascii="Arial" w:eastAsia="新細明體" w:hAnsi="Arial" w:cs="Arial"/>
          <w:sz w:val="20"/>
          <w:szCs w:val="20"/>
        </w:rPr>
        <w:t>”) is made in accordance with the guidelines issued by the Office of the Privacy Commissioner for Personal Data. The PICS sets out the policies and practices of the Securities and Futures Commission (“</w:t>
      </w:r>
      <w:r>
        <w:rPr>
          <w:rFonts w:ascii="Arial" w:eastAsia="新細明體" w:hAnsi="Arial" w:cs="Arial"/>
          <w:b/>
          <w:sz w:val="20"/>
          <w:szCs w:val="20"/>
        </w:rPr>
        <w:t>SFC</w:t>
      </w:r>
      <w:r>
        <w:rPr>
          <w:rFonts w:ascii="Arial" w:eastAsia="新細明體" w:hAnsi="Arial" w:cs="Arial"/>
          <w:sz w:val="20"/>
          <w:szCs w:val="20"/>
        </w:rPr>
        <w:t>”) with regard to your Personal Data</w:t>
      </w:r>
      <w:r>
        <w:rPr>
          <w:rFonts w:ascii="Arial" w:eastAsia="新細明體" w:hAnsi="Arial" w:cs="Arial"/>
          <w:color w:val="000000"/>
          <w:sz w:val="20"/>
          <w:szCs w:val="20"/>
          <w:vertAlign w:val="superscript"/>
        </w:rPr>
        <w:footnoteReference w:id="1"/>
      </w:r>
      <w:r>
        <w:rPr>
          <w:rFonts w:ascii="Arial" w:eastAsia="新細明體" w:hAnsi="Arial" w:cs="Arial"/>
          <w:sz w:val="20"/>
          <w:szCs w:val="20"/>
        </w:rPr>
        <w:t xml:space="preserve"> and what you are agreeing to with respect to the SFC’s use of your Personal Data for the purposes identified below. </w:t>
      </w:r>
    </w:p>
    <w:p w:rsidR="005C61A1" w:rsidRDefault="005C61A1" w:rsidP="005C61A1">
      <w:pPr>
        <w:spacing w:after="240" w:line="240" w:lineRule="auto"/>
        <w:jc w:val="both"/>
        <w:rPr>
          <w:rFonts w:ascii="Arial" w:eastAsia="新細明體" w:hAnsi="Arial" w:cs="Arial"/>
          <w:sz w:val="20"/>
          <w:szCs w:val="20"/>
        </w:rPr>
      </w:pPr>
      <w:r>
        <w:rPr>
          <w:rFonts w:ascii="Arial" w:eastAsia="新細明體" w:hAnsi="Arial" w:cs="Arial"/>
          <w:b/>
          <w:sz w:val="20"/>
          <w:szCs w:val="20"/>
        </w:rPr>
        <w:t xml:space="preserve">Purpose of Collection </w:t>
      </w:r>
    </w:p>
    <w:p w:rsidR="005C61A1" w:rsidRDefault="005C61A1" w:rsidP="005C61A1">
      <w:pPr>
        <w:numPr>
          <w:ilvl w:val="0"/>
          <w:numId w:val="5"/>
        </w:numPr>
        <w:tabs>
          <w:tab w:val="clear" w:pos="851"/>
          <w:tab w:val="num" w:pos="567"/>
          <w:tab w:val="num" w:pos="993"/>
        </w:tabs>
        <w:spacing w:after="240" w:line="240" w:lineRule="auto"/>
        <w:ind w:left="567" w:hanging="567"/>
        <w:jc w:val="both"/>
        <w:rPr>
          <w:rFonts w:ascii="Arial" w:eastAsia="新細明體" w:hAnsi="Arial" w:cs="Arial"/>
          <w:sz w:val="20"/>
          <w:szCs w:val="20"/>
        </w:rPr>
      </w:pPr>
      <w:r>
        <w:rPr>
          <w:rFonts w:ascii="Arial" w:eastAsia="新細明體" w:hAnsi="Arial" w:cs="Arial"/>
          <w:sz w:val="20"/>
          <w:szCs w:val="20"/>
        </w:rPr>
        <w:t xml:space="preserve">The Personal Data provided in </w:t>
      </w:r>
      <w:r w:rsidRPr="00FA67F3">
        <w:rPr>
          <w:rFonts w:ascii="Arial" w:eastAsia="新細明體" w:hAnsi="Arial" w:cs="Arial"/>
          <w:sz w:val="20"/>
          <w:szCs w:val="20"/>
        </w:rPr>
        <w:t>any</w:t>
      </w:r>
      <w:r>
        <w:rPr>
          <w:rFonts w:ascii="Arial" w:eastAsia="新細明體" w:hAnsi="Arial" w:cs="Arial"/>
          <w:i/>
          <w:sz w:val="20"/>
          <w:szCs w:val="20"/>
        </w:rPr>
        <w:t xml:space="preserve"> </w:t>
      </w:r>
      <w:r w:rsidRPr="00FA67F3">
        <w:rPr>
          <w:rFonts w:ascii="Arial" w:eastAsia="新細明體" w:hAnsi="Arial" w:cs="Arial"/>
          <w:sz w:val="20"/>
          <w:szCs w:val="20"/>
        </w:rPr>
        <w:t>application</w:t>
      </w:r>
      <w:r w:rsidRPr="00FA67F3">
        <w:rPr>
          <w:rFonts w:ascii="Arial" w:hAnsi="Arial" w:cs="Arial"/>
          <w:bCs/>
          <w:color w:val="000000"/>
          <w:sz w:val="20"/>
        </w:rPr>
        <w:t>, filing, submission (including any related</w:t>
      </w:r>
      <w:r w:rsidRPr="00FA67F3">
        <w:rPr>
          <w:rFonts w:ascii="Arial" w:eastAsia="新細明體" w:hAnsi="Arial" w:cs="Arial"/>
          <w:sz w:val="20"/>
          <w:szCs w:val="20"/>
        </w:rPr>
        <w:t xml:space="preserve"> form</w:t>
      </w:r>
      <w:r>
        <w:rPr>
          <w:rFonts w:ascii="Arial" w:hAnsi="Arial" w:cs="Arial"/>
          <w:bCs/>
          <w:color w:val="000000"/>
          <w:sz w:val="20"/>
        </w:rPr>
        <w:t xml:space="preserve">, </w:t>
      </w:r>
      <w:r w:rsidRPr="00FA67F3">
        <w:rPr>
          <w:rFonts w:ascii="Arial" w:hAnsi="Arial" w:cs="Arial"/>
          <w:bCs/>
          <w:color w:val="000000"/>
          <w:sz w:val="20"/>
        </w:rPr>
        <w:t>checklist, confirmation, documentation or correspondence), enquir</w:t>
      </w:r>
      <w:r>
        <w:rPr>
          <w:rFonts w:ascii="Arial" w:hAnsi="Arial" w:cs="Arial"/>
          <w:bCs/>
          <w:color w:val="000000"/>
          <w:sz w:val="20"/>
        </w:rPr>
        <w:t>y</w:t>
      </w:r>
      <w:r w:rsidRPr="00FA67F3">
        <w:rPr>
          <w:rFonts w:ascii="Arial" w:hAnsi="Arial" w:cs="Arial"/>
          <w:bCs/>
          <w:color w:val="000000"/>
          <w:sz w:val="20"/>
        </w:rPr>
        <w:t>, survey or any other form of request for information (as the case may be)</w:t>
      </w:r>
      <w:r>
        <w:rPr>
          <w:rFonts w:ascii="Arial" w:hAnsi="Arial" w:cs="Arial"/>
          <w:bCs/>
          <w:color w:val="000000"/>
          <w:sz w:val="20"/>
        </w:rPr>
        <w:t xml:space="preserve"> </w:t>
      </w:r>
      <w:r>
        <w:rPr>
          <w:rFonts w:ascii="Arial" w:eastAsia="新細明體" w:hAnsi="Arial" w:cs="Arial"/>
          <w:sz w:val="20"/>
          <w:szCs w:val="20"/>
        </w:rPr>
        <w:t xml:space="preserve">will be used by the SFC for one or more of the following purposes: </w:t>
      </w:r>
    </w:p>
    <w:p w:rsidR="005C61A1" w:rsidRPr="00E9220F" w:rsidRDefault="005C61A1" w:rsidP="005C61A1">
      <w:pPr>
        <w:numPr>
          <w:ilvl w:val="0"/>
          <w:numId w:val="6"/>
        </w:numPr>
        <w:autoSpaceDE w:val="0"/>
        <w:autoSpaceDN w:val="0"/>
        <w:adjustRightInd w:val="0"/>
        <w:spacing w:after="0" w:line="240" w:lineRule="auto"/>
        <w:ind w:left="900"/>
        <w:jc w:val="both"/>
        <w:rPr>
          <w:rFonts w:ascii="Arial" w:eastAsia="新細明體" w:hAnsi="Arial" w:cs="Arial"/>
          <w:color w:val="000000"/>
          <w:sz w:val="20"/>
          <w:szCs w:val="20"/>
        </w:rPr>
      </w:pPr>
      <w:r>
        <w:rPr>
          <w:rFonts w:ascii="Arial" w:eastAsia="新細明體" w:hAnsi="Arial" w:cs="Arial"/>
          <w:color w:val="000000"/>
          <w:sz w:val="20"/>
          <w:szCs w:val="20"/>
        </w:rPr>
        <w:t>to administer the Securities and Futures Ordinance (“</w:t>
      </w:r>
      <w:r>
        <w:rPr>
          <w:rFonts w:ascii="Arial" w:eastAsia="新細明體" w:hAnsi="Arial" w:cs="Arial"/>
          <w:b/>
          <w:color w:val="000000"/>
          <w:sz w:val="20"/>
          <w:szCs w:val="20"/>
        </w:rPr>
        <w:t>SFO</w:t>
      </w:r>
      <w:r>
        <w:rPr>
          <w:rFonts w:ascii="Arial" w:eastAsia="新細明體" w:hAnsi="Arial" w:cs="Arial"/>
          <w:color w:val="000000"/>
          <w:sz w:val="20"/>
          <w:szCs w:val="20"/>
        </w:rPr>
        <w:t>”) and other relevant Ordinances (including the Companies (Winding Up and Miscellaneous Provisions) Ordinance, the Companies Ordinance, the Anti-Money Laundering and Counter-Terrorist Financing (Financial Institutions) Ordinance, Financial Institutions (Resolution) Ordinance), rules, regulations, codes and guidelines made or promulgated pursuant to the powers vested in the SFC as in force at the relevant time</w:t>
      </w:r>
      <w:r w:rsidRPr="00E9220F">
        <w:rPr>
          <w:rFonts w:ascii="Arial" w:hAnsi="Arial" w:cs="Arial"/>
          <w:color w:val="000000"/>
          <w:sz w:val="20"/>
        </w:rPr>
        <w:t>, including:</w:t>
      </w:r>
    </w:p>
    <w:p w:rsidR="005C61A1" w:rsidRPr="00E9220F" w:rsidRDefault="005C61A1" w:rsidP="005C61A1">
      <w:pPr>
        <w:autoSpaceDE w:val="0"/>
        <w:autoSpaceDN w:val="0"/>
        <w:adjustRightInd w:val="0"/>
        <w:spacing w:after="0" w:line="240" w:lineRule="auto"/>
        <w:ind w:left="900"/>
        <w:jc w:val="both"/>
        <w:rPr>
          <w:rFonts w:ascii="Arial" w:eastAsia="新細明體" w:hAnsi="Arial" w:cs="Arial"/>
          <w:color w:val="000000"/>
          <w:sz w:val="20"/>
          <w:szCs w:val="20"/>
        </w:rPr>
      </w:pPr>
    </w:p>
    <w:p w:rsidR="005C61A1" w:rsidRPr="00E9220F" w:rsidRDefault="005C61A1" w:rsidP="005C61A1">
      <w:pPr>
        <w:pStyle w:val="ListParagraph"/>
        <w:numPr>
          <w:ilvl w:val="1"/>
          <w:numId w:val="6"/>
        </w:numPr>
        <w:autoSpaceDE w:val="0"/>
        <w:autoSpaceDN w:val="0"/>
        <w:adjustRightInd w:val="0"/>
        <w:snapToGrid w:val="0"/>
        <w:spacing w:after="0" w:line="240" w:lineRule="auto"/>
        <w:ind w:left="1418" w:hanging="425"/>
        <w:rPr>
          <w:rFonts w:cs="Arial"/>
          <w:b/>
          <w:bCs/>
          <w:i/>
          <w:iCs/>
          <w:color w:val="000000"/>
          <w:sz w:val="20"/>
        </w:rPr>
      </w:pPr>
      <w:r>
        <w:rPr>
          <w:rFonts w:cs="Arial"/>
          <w:i/>
          <w:color w:val="000000"/>
          <w:sz w:val="20"/>
        </w:rPr>
        <w:t xml:space="preserve">SFC </w:t>
      </w:r>
      <w:r w:rsidRPr="00E9220F">
        <w:rPr>
          <w:rFonts w:cs="Arial"/>
          <w:i/>
          <w:color w:val="000000"/>
          <w:sz w:val="20"/>
        </w:rPr>
        <w:t xml:space="preserve">Handbook for Unit Trusts and Mutual Funds, Investment-Linked Assurance Schemes and Unlisted Structured Investment Products and the various Product Codes therein; </w:t>
      </w:r>
    </w:p>
    <w:p w:rsidR="005C61A1" w:rsidRPr="00A87339" w:rsidRDefault="005C61A1" w:rsidP="005C61A1">
      <w:pPr>
        <w:pStyle w:val="ListParagraph"/>
        <w:numPr>
          <w:ilvl w:val="1"/>
          <w:numId w:val="6"/>
        </w:numPr>
        <w:autoSpaceDE w:val="0"/>
        <w:autoSpaceDN w:val="0"/>
        <w:adjustRightInd w:val="0"/>
        <w:snapToGrid w:val="0"/>
        <w:spacing w:after="0" w:line="240" w:lineRule="auto"/>
        <w:ind w:left="1418" w:hanging="425"/>
        <w:rPr>
          <w:rFonts w:cs="Arial"/>
          <w:b/>
          <w:bCs/>
          <w:i/>
          <w:iCs/>
          <w:color w:val="000000"/>
          <w:sz w:val="20"/>
        </w:rPr>
      </w:pPr>
      <w:r w:rsidRPr="00B0687A">
        <w:rPr>
          <w:rFonts w:cs="Arial"/>
          <w:i/>
          <w:color w:val="000000"/>
          <w:sz w:val="20"/>
        </w:rPr>
        <w:t xml:space="preserve">Code on Real Estate Investment Trusts; </w:t>
      </w:r>
    </w:p>
    <w:p w:rsidR="005C61A1" w:rsidRPr="00A87339" w:rsidRDefault="005C61A1" w:rsidP="005C61A1">
      <w:pPr>
        <w:pStyle w:val="ListParagraph"/>
        <w:numPr>
          <w:ilvl w:val="1"/>
          <w:numId w:val="6"/>
        </w:numPr>
        <w:autoSpaceDE w:val="0"/>
        <w:autoSpaceDN w:val="0"/>
        <w:adjustRightInd w:val="0"/>
        <w:snapToGrid w:val="0"/>
        <w:spacing w:after="0" w:line="240" w:lineRule="auto"/>
        <w:ind w:left="1418" w:hanging="425"/>
        <w:rPr>
          <w:rFonts w:cs="Arial"/>
          <w:b/>
          <w:bCs/>
          <w:i/>
          <w:iCs/>
          <w:color w:val="000000"/>
          <w:sz w:val="20"/>
        </w:rPr>
      </w:pPr>
      <w:r w:rsidRPr="00B0687A">
        <w:rPr>
          <w:rFonts w:cs="Arial"/>
          <w:i/>
          <w:color w:val="000000"/>
          <w:sz w:val="20"/>
        </w:rPr>
        <w:t>SFC Code on MPF Products;</w:t>
      </w:r>
    </w:p>
    <w:p w:rsidR="005C61A1" w:rsidRPr="001D74D2" w:rsidRDefault="005C61A1" w:rsidP="005C61A1">
      <w:pPr>
        <w:pStyle w:val="ListParagraph"/>
        <w:numPr>
          <w:ilvl w:val="1"/>
          <w:numId w:val="6"/>
        </w:numPr>
        <w:autoSpaceDE w:val="0"/>
        <w:autoSpaceDN w:val="0"/>
        <w:adjustRightInd w:val="0"/>
        <w:snapToGrid w:val="0"/>
        <w:spacing w:after="0" w:line="240" w:lineRule="auto"/>
        <w:ind w:left="1418" w:hanging="425"/>
        <w:rPr>
          <w:rFonts w:cs="Arial"/>
          <w:b/>
          <w:bCs/>
          <w:i/>
          <w:iCs/>
          <w:color w:val="000000"/>
          <w:sz w:val="20"/>
        </w:rPr>
      </w:pPr>
      <w:r w:rsidRPr="00B0687A">
        <w:rPr>
          <w:rFonts w:cs="Arial"/>
          <w:i/>
          <w:color w:val="000000"/>
          <w:sz w:val="20"/>
        </w:rPr>
        <w:t xml:space="preserve">Code on Pooled Retirement Funds; </w:t>
      </w:r>
    </w:p>
    <w:p w:rsidR="005C61A1" w:rsidRPr="00D06C37" w:rsidRDefault="005C61A1" w:rsidP="005C61A1">
      <w:pPr>
        <w:pStyle w:val="ListParagraph"/>
        <w:numPr>
          <w:ilvl w:val="1"/>
          <w:numId w:val="6"/>
        </w:numPr>
        <w:autoSpaceDE w:val="0"/>
        <w:autoSpaceDN w:val="0"/>
        <w:adjustRightInd w:val="0"/>
        <w:snapToGrid w:val="0"/>
        <w:spacing w:after="0" w:line="240" w:lineRule="auto"/>
        <w:ind w:left="1418" w:hanging="425"/>
        <w:rPr>
          <w:rFonts w:cs="Arial"/>
          <w:i/>
          <w:color w:val="000000"/>
          <w:sz w:val="20"/>
        </w:rPr>
      </w:pPr>
      <w:r w:rsidRPr="00A87339">
        <w:rPr>
          <w:rFonts w:cs="Arial"/>
          <w:i/>
          <w:color w:val="000000"/>
          <w:sz w:val="20"/>
        </w:rPr>
        <w:t xml:space="preserve">Advertising Guidelines Applicable to Collective Investment Schemes </w:t>
      </w:r>
      <w:r w:rsidRPr="00D06C37">
        <w:rPr>
          <w:rFonts w:cs="Arial"/>
          <w:i/>
          <w:color w:val="000000"/>
          <w:sz w:val="20"/>
        </w:rPr>
        <w:t>Authorized under the Product Codes;</w:t>
      </w:r>
    </w:p>
    <w:p w:rsidR="005C61A1" w:rsidRPr="00D06C37" w:rsidRDefault="005C61A1" w:rsidP="005C61A1">
      <w:pPr>
        <w:pStyle w:val="ListParagraph"/>
        <w:numPr>
          <w:ilvl w:val="1"/>
          <w:numId w:val="6"/>
        </w:numPr>
        <w:autoSpaceDE w:val="0"/>
        <w:autoSpaceDN w:val="0"/>
        <w:adjustRightInd w:val="0"/>
        <w:snapToGrid w:val="0"/>
        <w:spacing w:after="0" w:line="0" w:lineRule="atLeast"/>
        <w:ind w:left="1418" w:hanging="425"/>
        <w:rPr>
          <w:rFonts w:cs="Arial"/>
          <w:i/>
          <w:color w:val="000000"/>
          <w:sz w:val="20"/>
        </w:rPr>
      </w:pPr>
      <w:r w:rsidRPr="00D06C37">
        <w:rPr>
          <w:rFonts w:cs="Arial"/>
          <w:i/>
          <w:color w:val="000000"/>
          <w:sz w:val="20"/>
        </w:rPr>
        <w:t>Guidance Note for Persons Advertising or Offering Collective Investment Schemes on the Internet;</w:t>
      </w:r>
    </w:p>
    <w:p w:rsidR="005C61A1" w:rsidRDefault="005C61A1" w:rsidP="005C61A1">
      <w:pPr>
        <w:autoSpaceDE w:val="0"/>
        <w:autoSpaceDN w:val="0"/>
        <w:adjustRightInd w:val="0"/>
        <w:snapToGrid w:val="0"/>
        <w:spacing w:after="0" w:line="0" w:lineRule="atLeast"/>
        <w:ind w:left="180" w:firstLine="810"/>
        <w:rPr>
          <w:rFonts w:ascii="Arial" w:hAnsi="Arial" w:cs="Arial"/>
          <w:color w:val="000000"/>
          <w:sz w:val="20"/>
        </w:rPr>
      </w:pPr>
    </w:p>
    <w:p w:rsidR="005C61A1" w:rsidRDefault="005C61A1" w:rsidP="005C61A1">
      <w:pPr>
        <w:autoSpaceDE w:val="0"/>
        <w:autoSpaceDN w:val="0"/>
        <w:adjustRightInd w:val="0"/>
        <w:snapToGrid w:val="0"/>
        <w:spacing w:after="0" w:line="0" w:lineRule="atLeast"/>
        <w:ind w:left="180" w:firstLine="810"/>
        <w:rPr>
          <w:rFonts w:ascii="Arial" w:hAnsi="Arial" w:cs="Arial"/>
          <w:b/>
          <w:color w:val="000000"/>
          <w:sz w:val="20"/>
        </w:rPr>
      </w:pPr>
      <w:r w:rsidRPr="00E9220F">
        <w:rPr>
          <w:rFonts w:ascii="Arial" w:hAnsi="Arial" w:cs="Arial"/>
          <w:color w:val="000000"/>
          <w:sz w:val="20"/>
        </w:rPr>
        <w:t>(</w:t>
      </w:r>
      <w:proofErr w:type="gramStart"/>
      <w:r w:rsidRPr="00E9220F">
        <w:rPr>
          <w:rFonts w:ascii="Arial" w:hAnsi="Arial" w:cs="Arial"/>
          <w:color w:val="000000"/>
          <w:sz w:val="20"/>
        </w:rPr>
        <w:t>collectively</w:t>
      </w:r>
      <w:proofErr w:type="gramEnd"/>
      <w:r w:rsidRPr="00E9220F">
        <w:rPr>
          <w:rFonts w:ascii="Arial" w:hAnsi="Arial" w:cs="Arial"/>
          <w:color w:val="000000"/>
          <w:sz w:val="20"/>
        </w:rPr>
        <w:t>, the “</w:t>
      </w:r>
      <w:r w:rsidRPr="00E9220F">
        <w:rPr>
          <w:rFonts w:ascii="Arial" w:hAnsi="Arial" w:cs="Arial"/>
          <w:b/>
          <w:color w:val="000000"/>
          <w:sz w:val="20"/>
        </w:rPr>
        <w:t xml:space="preserve">Relevant Ordinances and </w:t>
      </w:r>
      <w:r w:rsidRPr="00335F20">
        <w:rPr>
          <w:rFonts w:ascii="Arial" w:hAnsi="Arial" w:cs="Arial"/>
          <w:b/>
          <w:color w:val="000000"/>
          <w:sz w:val="20"/>
        </w:rPr>
        <w:t>Regulatory Requirements”)</w:t>
      </w:r>
    </w:p>
    <w:p w:rsidR="005C61A1" w:rsidRPr="00335F20" w:rsidRDefault="005C61A1" w:rsidP="005C61A1">
      <w:pPr>
        <w:autoSpaceDE w:val="0"/>
        <w:autoSpaceDN w:val="0"/>
        <w:adjustRightInd w:val="0"/>
        <w:snapToGrid w:val="0"/>
        <w:spacing w:after="0" w:line="0" w:lineRule="atLeast"/>
        <w:ind w:left="180" w:firstLine="810"/>
        <w:rPr>
          <w:rFonts w:cs="Arial"/>
          <w:b/>
          <w:bCs/>
          <w:i/>
          <w:iCs/>
          <w:color w:val="000000"/>
          <w:sz w:val="20"/>
        </w:rPr>
      </w:pPr>
    </w:p>
    <w:p w:rsidR="005C61A1" w:rsidRPr="007F019F" w:rsidRDefault="005C61A1" w:rsidP="005C61A1">
      <w:pPr>
        <w:numPr>
          <w:ilvl w:val="0"/>
          <w:numId w:val="6"/>
        </w:numPr>
        <w:autoSpaceDE w:val="0"/>
        <w:autoSpaceDN w:val="0"/>
        <w:adjustRightInd w:val="0"/>
        <w:spacing w:after="0" w:line="240" w:lineRule="auto"/>
        <w:ind w:left="900"/>
        <w:jc w:val="both"/>
        <w:rPr>
          <w:rFonts w:cs="Arial"/>
          <w:color w:val="000000"/>
          <w:sz w:val="20"/>
        </w:rPr>
      </w:pPr>
      <w:r w:rsidRPr="00E9220F">
        <w:rPr>
          <w:rFonts w:ascii="Arial" w:eastAsia="新細明體" w:hAnsi="Arial" w:cs="Arial"/>
          <w:color w:val="000000"/>
          <w:sz w:val="20"/>
          <w:szCs w:val="20"/>
        </w:rPr>
        <w:t>to process any application made under the Relevant Ordinances and Regulatory Requirements where you may have a connection;</w:t>
      </w:r>
    </w:p>
    <w:p w:rsidR="005C61A1" w:rsidRPr="007F019F" w:rsidRDefault="005C61A1" w:rsidP="005C61A1">
      <w:pPr>
        <w:autoSpaceDE w:val="0"/>
        <w:autoSpaceDN w:val="0"/>
        <w:adjustRightInd w:val="0"/>
        <w:spacing w:after="0" w:line="240" w:lineRule="auto"/>
        <w:ind w:left="900"/>
        <w:jc w:val="both"/>
        <w:rPr>
          <w:rFonts w:cs="Arial"/>
          <w:color w:val="000000"/>
          <w:sz w:val="20"/>
        </w:rPr>
      </w:pPr>
    </w:p>
    <w:p w:rsidR="005C61A1" w:rsidRPr="007F019F" w:rsidRDefault="005C61A1" w:rsidP="005C61A1">
      <w:pPr>
        <w:numPr>
          <w:ilvl w:val="0"/>
          <w:numId w:val="6"/>
        </w:numPr>
        <w:autoSpaceDE w:val="0"/>
        <w:autoSpaceDN w:val="0"/>
        <w:adjustRightInd w:val="0"/>
        <w:spacing w:after="0" w:line="240" w:lineRule="auto"/>
        <w:ind w:left="900"/>
        <w:jc w:val="both"/>
        <w:rPr>
          <w:rFonts w:cs="Arial"/>
          <w:color w:val="000000"/>
          <w:sz w:val="20"/>
        </w:rPr>
      </w:pPr>
      <w:r w:rsidRPr="00E9220F">
        <w:rPr>
          <w:rFonts w:ascii="Arial" w:eastAsia="新細明體" w:hAnsi="Arial" w:cs="Arial"/>
          <w:color w:val="000000"/>
          <w:sz w:val="20"/>
          <w:szCs w:val="20"/>
        </w:rPr>
        <w:t xml:space="preserve">to monitor </w:t>
      </w:r>
      <w:r>
        <w:rPr>
          <w:rFonts w:ascii="Arial" w:eastAsia="新細明體" w:hAnsi="Arial" w:cs="Arial"/>
          <w:color w:val="000000"/>
          <w:sz w:val="20"/>
          <w:szCs w:val="20"/>
        </w:rPr>
        <w:t xml:space="preserve">the </w:t>
      </w:r>
      <w:r w:rsidRPr="00E9220F">
        <w:rPr>
          <w:rFonts w:ascii="Arial" w:eastAsia="新細明體" w:hAnsi="Arial" w:cs="Arial"/>
          <w:color w:val="000000"/>
          <w:sz w:val="20"/>
          <w:szCs w:val="20"/>
        </w:rPr>
        <w:t xml:space="preserve">ongoing compliance </w:t>
      </w:r>
      <w:r>
        <w:rPr>
          <w:rFonts w:ascii="Arial" w:eastAsia="新細明體" w:hAnsi="Arial" w:cs="Arial"/>
          <w:color w:val="000000"/>
          <w:sz w:val="20"/>
          <w:szCs w:val="20"/>
        </w:rPr>
        <w:t>of</w:t>
      </w:r>
      <w:r w:rsidRPr="00E9220F">
        <w:rPr>
          <w:rFonts w:ascii="Arial" w:eastAsia="新細明體" w:hAnsi="Arial" w:cs="Arial"/>
          <w:color w:val="000000"/>
          <w:sz w:val="20"/>
          <w:szCs w:val="20"/>
        </w:rPr>
        <w:t xml:space="preserve"> SFC-authorized investment products and their key operators with the Relevant Ordinances and Regulatory Requirements;</w:t>
      </w:r>
    </w:p>
    <w:p w:rsidR="005C61A1" w:rsidRPr="00E9220F" w:rsidRDefault="005C61A1" w:rsidP="005C61A1">
      <w:pPr>
        <w:autoSpaceDE w:val="0"/>
        <w:autoSpaceDN w:val="0"/>
        <w:adjustRightInd w:val="0"/>
        <w:spacing w:after="0" w:line="240" w:lineRule="auto"/>
        <w:ind w:left="900"/>
        <w:jc w:val="both"/>
        <w:rPr>
          <w:rFonts w:cs="Arial"/>
          <w:color w:val="000000"/>
          <w:sz w:val="20"/>
        </w:rPr>
      </w:pPr>
    </w:p>
    <w:p w:rsidR="005C61A1" w:rsidRPr="00BD5D68" w:rsidRDefault="005C61A1" w:rsidP="005C61A1">
      <w:pPr>
        <w:numPr>
          <w:ilvl w:val="0"/>
          <w:numId w:val="6"/>
        </w:numPr>
        <w:autoSpaceDE w:val="0"/>
        <w:autoSpaceDN w:val="0"/>
        <w:adjustRightInd w:val="0"/>
        <w:spacing w:after="0" w:line="240" w:lineRule="auto"/>
        <w:ind w:left="900"/>
        <w:jc w:val="both"/>
        <w:rPr>
          <w:rFonts w:cs="Arial"/>
          <w:b/>
          <w:i/>
          <w:color w:val="000000"/>
          <w:sz w:val="20"/>
        </w:rPr>
      </w:pPr>
      <w:r w:rsidRPr="00BD5D68">
        <w:rPr>
          <w:rFonts w:ascii="Arial" w:eastAsia="新細明體" w:hAnsi="Arial" w:cs="Arial"/>
          <w:color w:val="000000"/>
          <w:sz w:val="20"/>
          <w:szCs w:val="20"/>
        </w:rPr>
        <w:t>for the purposes of inviting attendees to events or industry briefings organised by the</w:t>
      </w:r>
      <w:r w:rsidRPr="00BD5D68">
        <w:rPr>
          <w:rFonts w:ascii="Arial" w:hAnsi="Arial" w:cs="Arial"/>
          <w:color w:val="000000"/>
          <w:sz w:val="20"/>
        </w:rPr>
        <w:t xml:space="preserve"> Commission;</w:t>
      </w:r>
    </w:p>
    <w:p w:rsidR="005C61A1" w:rsidRDefault="005C61A1" w:rsidP="005C61A1">
      <w:pPr>
        <w:autoSpaceDE w:val="0"/>
        <w:autoSpaceDN w:val="0"/>
        <w:adjustRightInd w:val="0"/>
        <w:spacing w:after="0" w:line="240" w:lineRule="auto"/>
        <w:jc w:val="both"/>
        <w:rPr>
          <w:rFonts w:ascii="Arial" w:eastAsia="新細明體" w:hAnsi="Arial" w:cs="Arial"/>
          <w:color w:val="000000"/>
          <w:sz w:val="20"/>
          <w:szCs w:val="20"/>
        </w:rPr>
      </w:pPr>
    </w:p>
    <w:p w:rsidR="005C61A1" w:rsidRPr="001C5046" w:rsidRDefault="005C61A1" w:rsidP="005C61A1">
      <w:pPr>
        <w:numPr>
          <w:ilvl w:val="0"/>
          <w:numId w:val="6"/>
        </w:numPr>
        <w:autoSpaceDE w:val="0"/>
        <w:autoSpaceDN w:val="0"/>
        <w:adjustRightInd w:val="0"/>
        <w:spacing w:after="0" w:line="240" w:lineRule="auto"/>
        <w:ind w:left="900"/>
        <w:jc w:val="both"/>
        <w:rPr>
          <w:rFonts w:ascii="Arial" w:eastAsia="新細明體" w:hAnsi="Arial" w:cs="Arial"/>
          <w:color w:val="000000"/>
          <w:sz w:val="20"/>
          <w:szCs w:val="20"/>
        </w:rPr>
      </w:pPr>
      <w:r w:rsidRPr="001C5046">
        <w:rPr>
          <w:rFonts w:ascii="Arial" w:eastAsia="新細明體" w:hAnsi="Arial" w:cs="Arial"/>
          <w:color w:val="000000"/>
          <w:sz w:val="20"/>
          <w:szCs w:val="20"/>
        </w:rPr>
        <w:t>for the purposes of performing the SFC’s statutory functions under the relevant Ordinances, including surveillance, investigation, inspection or enforcement / disciplinary action;</w:t>
      </w:r>
    </w:p>
    <w:p w:rsidR="005C61A1" w:rsidRDefault="005C61A1" w:rsidP="005C61A1">
      <w:pPr>
        <w:autoSpaceDE w:val="0"/>
        <w:autoSpaceDN w:val="0"/>
        <w:adjustRightInd w:val="0"/>
        <w:spacing w:after="0" w:line="240" w:lineRule="auto"/>
        <w:ind w:left="900"/>
        <w:jc w:val="both"/>
        <w:rPr>
          <w:rFonts w:ascii="Arial" w:eastAsia="新細明體" w:hAnsi="Arial" w:cs="Arial"/>
          <w:color w:val="000000"/>
          <w:sz w:val="20"/>
          <w:szCs w:val="20"/>
        </w:rPr>
      </w:pPr>
    </w:p>
    <w:p w:rsidR="005C61A1" w:rsidRDefault="005C61A1" w:rsidP="005C61A1">
      <w:pPr>
        <w:numPr>
          <w:ilvl w:val="0"/>
          <w:numId w:val="6"/>
        </w:numPr>
        <w:autoSpaceDE w:val="0"/>
        <w:autoSpaceDN w:val="0"/>
        <w:adjustRightInd w:val="0"/>
        <w:spacing w:after="0" w:line="240" w:lineRule="auto"/>
        <w:ind w:left="900"/>
        <w:jc w:val="both"/>
        <w:rPr>
          <w:rFonts w:ascii="Arial" w:eastAsia="新細明體" w:hAnsi="Arial" w:cs="Arial"/>
          <w:color w:val="000000"/>
          <w:sz w:val="20"/>
          <w:szCs w:val="20"/>
        </w:rPr>
      </w:pPr>
      <w:r>
        <w:rPr>
          <w:rFonts w:ascii="Arial" w:eastAsia="新細明體" w:hAnsi="Arial" w:cs="Arial"/>
          <w:color w:val="000000"/>
          <w:sz w:val="20"/>
          <w:szCs w:val="20"/>
        </w:rPr>
        <w:t>for research or statistical purposes;</w:t>
      </w:r>
    </w:p>
    <w:p w:rsidR="005C61A1" w:rsidRDefault="005C61A1" w:rsidP="005C61A1">
      <w:pPr>
        <w:autoSpaceDE w:val="0"/>
        <w:autoSpaceDN w:val="0"/>
        <w:adjustRightInd w:val="0"/>
        <w:spacing w:after="0" w:line="240" w:lineRule="auto"/>
        <w:jc w:val="both"/>
        <w:rPr>
          <w:rFonts w:ascii="Arial" w:eastAsia="新細明體" w:hAnsi="Arial" w:cs="Arial"/>
          <w:color w:val="000000"/>
          <w:sz w:val="20"/>
          <w:szCs w:val="20"/>
        </w:rPr>
      </w:pPr>
      <w:r>
        <w:rPr>
          <w:rFonts w:ascii="Arial" w:eastAsia="新細明體" w:hAnsi="Arial" w:cs="Arial"/>
          <w:color w:val="000000"/>
          <w:sz w:val="20"/>
          <w:szCs w:val="20"/>
        </w:rPr>
        <w:t xml:space="preserve"> </w:t>
      </w:r>
    </w:p>
    <w:p w:rsidR="005C61A1" w:rsidRDefault="005C61A1" w:rsidP="005C61A1">
      <w:pPr>
        <w:numPr>
          <w:ilvl w:val="0"/>
          <w:numId w:val="6"/>
        </w:numPr>
        <w:autoSpaceDE w:val="0"/>
        <w:autoSpaceDN w:val="0"/>
        <w:adjustRightInd w:val="0"/>
        <w:spacing w:after="0" w:line="240" w:lineRule="auto"/>
        <w:ind w:left="900"/>
        <w:jc w:val="both"/>
        <w:rPr>
          <w:rFonts w:ascii="Arial" w:eastAsia="新細明體" w:hAnsi="Arial" w:cs="Arial"/>
          <w:color w:val="000000"/>
          <w:sz w:val="20"/>
          <w:szCs w:val="20"/>
        </w:rPr>
      </w:pPr>
      <w:r w:rsidRPr="00E9220F">
        <w:rPr>
          <w:rFonts w:ascii="Arial" w:hAnsi="Arial" w:cs="Arial"/>
          <w:color w:val="000000"/>
          <w:sz w:val="20"/>
        </w:rPr>
        <w:t>other purposes directly relating to any of the above;</w:t>
      </w:r>
      <w:r>
        <w:rPr>
          <w:rFonts w:cs="Arial"/>
          <w:color w:val="000000"/>
          <w:sz w:val="20"/>
        </w:rPr>
        <w:t xml:space="preserve"> </w:t>
      </w:r>
      <w:r>
        <w:rPr>
          <w:rFonts w:ascii="Arial" w:eastAsia="新細明體" w:hAnsi="Arial" w:cs="Arial"/>
          <w:color w:val="000000"/>
          <w:sz w:val="20"/>
          <w:szCs w:val="20"/>
        </w:rPr>
        <w:t xml:space="preserve">and </w:t>
      </w:r>
    </w:p>
    <w:p w:rsidR="005C61A1" w:rsidRDefault="005C61A1" w:rsidP="005C61A1">
      <w:pPr>
        <w:autoSpaceDE w:val="0"/>
        <w:autoSpaceDN w:val="0"/>
        <w:adjustRightInd w:val="0"/>
        <w:spacing w:after="0" w:line="240" w:lineRule="auto"/>
        <w:ind w:left="900"/>
        <w:jc w:val="both"/>
        <w:rPr>
          <w:rFonts w:ascii="Arial" w:eastAsia="新細明體" w:hAnsi="Arial" w:cs="Arial"/>
          <w:color w:val="000000"/>
          <w:sz w:val="20"/>
          <w:szCs w:val="20"/>
        </w:rPr>
      </w:pPr>
    </w:p>
    <w:p w:rsidR="005C61A1" w:rsidRDefault="005C61A1" w:rsidP="005C61A1">
      <w:pPr>
        <w:numPr>
          <w:ilvl w:val="0"/>
          <w:numId w:val="6"/>
        </w:numPr>
        <w:autoSpaceDE w:val="0"/>
        <w:autoSpaceDN w:val="0"/>
        <w:adjustRightInd w:val="0"/>
        <w:spacing w:after="0" w:line="240" w:lineRule="auto"/>
        <w:ind w:left="900"/>
        <w:jc w:val="both"/>
        <w:rPr>
          <w:rFonts w:ascii="Arial" w:eastAsia="新細明體" w:hAnsi="Arial" w:cs="Arial"/>
          <w:color w:val="000000"/>
          <w:sz w:val="20"/>
          <w:szCs w:val="20"/>
        </w:rPr>
      </w:pPr>
      <w:proofErr w:type="gramStart"/>
      <w:r>
        <w:rPr>
          <w:rFonts w:ascii="Arial" w:eastAsia="新細明體" w:hAnsi="Arial" w:cs="Arial"/>
          <w:color w:val="000000"/>
          <w:sz w:val="20"/>
          <w:szCs w:val="20"/>
        </w:rPr>
        <w:t>other</w:t>
      </w:r>
      <w:proofErr w:type="gramEnd"/>
      <w:r>
        <w:rPr>
          <w:rFonts w:ascii="Arial" w:eastAsia="新細明體" w:hAnsi="Arial" w:cs="Arial"/>
          <w:color w:val="000000"/>
          <w:sz w:val="20"/>
          <w:szCs w:val="20"/>
        </w:rPr>
        <w:t xml:space="preserve"> purposes as permitted by law. </w:t>
      </w:r>
    </w:p>
    <w:p w:rsidR="005C61A1" w:rsidRDefault="005C61A1" w:rsidP="005C61A1">
      <w:pPr>
        <w:pStyle w:val="ListParagraph"/>
        <w:rPr>
          <w:rFonts w:ascii="Arial" w:eastAsia="新細明體" w:hAnsi="Arial" w:cs="Arial"/>
          <w:color w:val="000000"/>
          <w:sz w:val="20"/>
          <w:szCs w:val="20"/>
        </w:rPr>
      </w:pPr>
    </w:p>
    <w:p w:rsidR="005C61A1" w:rsidRDefault="005C61A1" w:rsidP="005C61A1">
      <w:pPr>
        <w:autoSpaceDE w:val="0"/>
        <w:autoSpaceDN w:val="0"/>
        <w:adjustRightInd w:val="0"/>
        <w:spacing w:after="0" w:line="240" w:lineRule="auto"/>
        <w:ind w:left="900"/>
        <w:jc w:val="both"/>
        <w:rPr>
          <w:rFonts w:ascii="Arial" w:eastAsia="新細明體" w:hAnsi="Arial" w:cs="Arial"/>
          <w:color w:val="000000"/>
          <w:sz w:val="20"/>
          <w:szCs w:val="20"/>
        </w:rPr>
      </w:pPr>
    </w:p>
    <w:p w:rsidR="005C61A1" w:rsidRDefault="005C61A1" w:rsidP="005C61A1">
      <w:pPr>
        <w:numPr>
          <w:ilvl w:val="0"/>
          <w:numId w:val="5"/>
        </w:numPr>
        <w:tabs>
          <w:tab w:val="clear" w:pos="851"/>
          <w:tab w:val="num" w:pos="567"/>
          <w:tab w:val="num" w:pos="993"/>
        </w:tabs>
        <w:spacing w:after="240" w:line="240" w:lineRule="auto"/>
        <w:ind w:left="567" w:hanging="567"/>
        <w:jc w:val="both"/>
        <w:rPr>
          <w:rFonts w:ascii="Arial" w:eastAsia="新細明體" w:hAnsi="Arial" w:cs="Arial"/>
          <w:sz w:val="20"/>
          <w:szCs w:val="20"/>
        </w:rPr>
      </w:pPr>
      <w:r>
        <w:rPr>
          <w:rFonts w:ascii="Arial" w:eastAsia="新細明體" w:hAnsi="Arial" w:cs="Arial"/>
          <w:sz w:val="20"/>
          <w:szCs w:val="20"/>
        </w:rPr>
        <w:lastRenderedPageBreak/>
        <w:t>Failure to provide the requested Personal Data may result in the SFC being unable to process your application or request, or</w:t>
      </w:r>
      <w:r>
        <w:rPr>
          <w:rFonts w:ascii="Arial" w:eastAsia="新細明體" w:hAnsi="Arial" w:cs="Arial"/>
          <w:b/>
          <w:sz w:val="20"/>
          <w:szCs w:val="20"/>
        </w:rPr>
        <w:t xml:space="preserve"> </w:t>
      </w:r>
      <w:r>
        <w:rPr>
          <w:rFonts w:ascii="Arial" w:eastAsia="新細明體" w:hAnsi="Arial" w:cs="Arial"/>
          <w:sz w:val="20"/>
          <w:szCs w:val="20"/>
        </w:rPr>
        <w:t xml:space="preserve">perform its statutory functions under the relevant Ordinances. </w:t>
      </w:r>
    </w:p>
    <w:p w:rsidR="005C61A1" w:rsidRDefault="005C61A1" w:rsidP="005C61A1">
      <w:pPr>
        <w:spacing w:after="240" w:line="240" w:lineRule="auto"/>
        <w:jc w:val="both"/>
        <w:rPr>
          <w:rFonts w:ascii="Arial" w:eastAsia="新細明體" w:hAnsi="Arial" w:cs="Arial"/>
          <w:b/>
          <w:sz w:val="20"/>
          <w:szCs w:val="20"/>
        </w:rPr>
      </w:pPr>
      <w:r>
        <w:rPr>
          <w:rFonts w:ascii="Arial" w:eastAsia="新細明體" w:hAnsi="Arial" w:cs="Arial"/>
          <w:b/>
          <w:sz w:val="20"/>
          <w:szCs w:val="20"/>
        </w:rPr>
        <w:t xml:space="preserve">Transfer / Matching of Personal Data </w:t>
      </w:r>
    </w:p>
    <w:p w:rsidR="005C61A1" w:rsidRDefault="005C61A1" w:rsidP="005C61A1">
      <w:pPr>
        <w:numPr>
          <w:ilvl w:val="0"/>
          <w:numId w:val="5"/>
        </w:numPr>
        <w:tabs>
          <w:tab w:val="clear" w:pos="851"/>
          <w:tab w:val="num" w:pos="993"/>
        </w:tabs>
        <w:spacing w:after="240" w:line="240" w:lineRule="auto"/>
        <w:ind w:left="567" w:hanging="567"/>
        <w:jc w:val="both"/>
        <w:rPr>
          <w:rFonts w:ascii="Arial" w:eastAsia="新細明體" w:hAnsi="Arial" w:cs="Arial"/>
          <w:sz w:val="20"/>
          <w:szCs w:val="20"/>
        </w:rPr>
      </w:pPr>
      <w:r>
        <w:rPr>
          <w:rFonts w:ascii="Arial" w:eastAsia="新細明體" w:hAnsi="Arial" w:cs="Arial"/>
          <w:sz w:val="20"/>
          <w:szCs w:val="20"/>
        </w:rPr>
        <w:t>Personal Data may be disclosed by the SFC to (</w:t>
      </w:r>
      <w:proofErr w:type="spellStart"/>
      <w:r>
        <w:rPr>
          <w:rFonts w:ascii="Arial" w:eastAsia="新細明體" w:hAnsi="Arial" w:cs="Arial"/>
          <w:sz w:val="20"/>
          <w:szCs w:val="20"/>
        </w:rPr>
        <w:t>i</w:t>
      </w:r>
      <w:proofErr w:type="spellEnd"/>
      <w:r>
        <w:rPr>
          <w:rFonts w:ascii="Arial" w:eastAsia="新細明體" w:hAnsi="Arial" w:cs="Arial"/>
          <w:sz w:val="20"/>
          <w:szCs w:val="20"/>
        </w:rPr>
        <w:t>) other financial regulators in Hong Kong (including the Hong Kong Exchanges and Clearing Limited, the Hong Kong Monetary Authority</w:t>
      </w:r>
      <w:r w:rsidRPr="00D96C2C">
        <w:rPr>
          <w:rFonts w:ascii="Arial" w:hAnsi="Arial" w:cs="Arial"/>
          <w:color w:val="000000"/>
          <w:sz w:val="20"/>
        </w:rPr>
        <w:t>, the Insurance Authority and the Mandatory Provident Funds Schemes</w:t>
      </w:r>
      <w:r w:rsidRPr="005B41CB">
        <w:rPr>
          <w:rFonts w:ascii="Arial" w:hAnsi="Arial" w:cs="Arial"/>
          <w:color w:val="000000"/>
          <w:sz w:val="20"/>
        </w:rPr>
        <w:t xml:space="preserve"> </w:t>
      </w:r>
      <w:r w:rsidRPr="00D96C2C">
        <w:rPr>
          <w:rFonts w:ascii="Arial" w:hAnsi="Arial" w:cs="Arial"/>
          <w:color w:val="000000"/>
          <w:sz w:val="20"/>
        </w:rPr>
        <w:t>Authority</w:t>
      </w:r>
      <w:r>
        <w:rPr>
          <w:rFonts w:ascii="Arial" w:eastAsia="新細明體" w:hAnsi="Arial" w:cs="Arial"/>
          <w:sz w:val="20"/>
          <w:szCs w:val="20"/>
        </w:rPr>
        <w:t xml:space="preserve">), (ii) government bodies (including the Hong Kong Police Force, the Customs and Excise Department, and the Independent Commission Against Corruption), (iii) relevant courts, panels, tribunals and committees, (iv) overseas regulatory / government / judicial bodies as permitted or required under the law, or pursuant to any regulatory / supervisory / investigatory assistance arrangements between the SFC and other regulators (local / overseas), and/or (iv) persons engaged by the SFC to assist the SFC in the performance of its statutory functions.  </w:t>
      </w:r>
    </w:p>
    <w:p w:rsidR="005C61A1" w:rsidRDefault="005C61A1" w:rsidP="005C61A1">
      <w:pPr>
        <w:numPr>
          <w:ilvl w:val="0"/>
          <w:numId w:val="5"/>
        </w:numPr>
        <w:tabs>
          <w:tab w:val="clear" w:pos="851"/>
          <w:tab w:val="num" w:pos="567"/>
          <w:tab w:val="num" w:pos="993"/>
        </w:tabs>
        <w:spacing w:after="240" w:line="240" w:lineRule="auto"/>
        <w:ind w:left="567" w:hanging="567"/>
        <w:jc w:val="both"/>
        <w:rPr>
          <w:rFonts w:ascii="Arial" w:eastAsia="新細明體" w:hAnsi="Arial" w:cs="Arial"/>
          <w:sz w:val="20"/>
          <w:szCs w:val="20"/>
        </w:rPr>
      </w:pPr>
      <w:r>
        <w:rPr>
          <w:rFonts w:ascii="Arial" w:eastAsia="新細明體" w:hAnsi="Arial" w:cs="Arial"/>
          <w:sz w:val="20"/>
          <w:szCs w:val="20"/>
        </w:rPr>
        <w:t>Personal Data may be used by the SFC and/or disclosed by the SFC to the above organizations / bodies / persons in Hong Kong or elsewhere for the purposes of verifying / matching</w:t>
      </w:r>
      <w:r>
        <w:rPr>
          <w:rFonts w:ascii="Arial" w:eastAsia="新細明體" w:hAnsi="Arial" w:cs="Arial"/>
          <w:color w:val="000000"/>
          <w:sz w:val="20"/>
          <w:szCs w:val="20"/>
          <w:vertAlign w:val="superscript"/>
          <w:lang w:eastAsia="zh-HK"/>
        </w:rPr>
        <w:footnoteReference w:id="2"/>
      </w:r>
      <w:r>
        <w:rPr>
          <w:rFonts w:ascii="Arial" w:eastAsia="新細明體" w:hAnsi="Arial" w:cs="Arial"/>
          <w:sz w:val="20"/>
          <w:szCs w:val="20"/>
        </w:rPr>
        <w:t xml:space="preserve"> those data.  You consent to the use of your Personal Data for carrying out a matching procedure (as defined in the PDPO).</w:t>
      </w:r>
    </w:p>
    <w:p w:rsidR="005C61A1" w:rsidRDefault="005C61A1" w:rsidP="005C61A1">
      <w:pPr>
        <w:numPr>
          <w:ilvl w:val="0"/>
          <w:numId w:val="5"/>
        </w:numPr>
        <w:tabs>
          <w:tab w:val="clear" w:pos="851"/>
          <w:tab w:val="num" w:pos="567"/>
          <w:tab w:val="num" w:pos="993"/>
        </w:tabs>
        <w:spacing w:after="240" w:line="240" w:lineRule="auto"/>
        <w:ind w:left="567" w:hanging="567"/>
        <w:jc w:val="both"/>
        <w:rPr>
          <w:rFonts w:ascii="Arial" w:eastAsia="新細明體" w:hAnsi="Arial" w:cs="Arial"/>
          <w:sz w:val="20"/>
          <w:szCs w:val="20"/>
        </w:rPr>
      </w:pPr>
      <w:r>
        <w:rPr>
          <w:rFonts w:ascii="Arial" w:eastAsia="新細明體" w:hAnsi="Arial" w:cs="Arial"/>
          <w:sz w:val="20"/>
          <w:szCs w:val="20"/>
        </w:rPr>
        <w:t xml:space="preserve">Your Personal Data may be transferred to place(s) outside of Hong Kong for the purposes stated herein (such places may or may not offer the same or a similar level of personal data protection as in Hong Kong).  </w:t>
      </w:r>
    </w:p>
    <w:p w:rsidR="005C61A1" w:rsidRDefault="005C61A1" w:rsidP="005C61A1">
      <w:pPr>
        <w:spacing w:after="240" w:line="240" w:lineRule="auto"/>
        <w:jc w:val="both"/>
        <w:rPr>
          <w:rFonts w:ascii="Arial" w:eastAsia="新細明體" w:hAnsi="Arial" w:cs="Arial"/>
          <w:b/>
          <w:sz w:val="20"/>
          <w:szCs w:val="20"/>
        </w:rPr>
      </w:pPr>
      <w:r>
        <w:rPr>
          <w:rFonts w:ascii="Arial" w:eastAsia="新細明體" w:hAnsi="Arial" w:cs="Arial"/>
          <w:b/>
          <w:sz w:val="20"/>
          <w:szCs w:val="20"/>
        </w:rPr>
        <w:t xml:space="preserve">Access to Data </w:t>
      </w:r>
    </w:p>
    <w:p w:rsidR="005C61A1" w:rsidRDefault="005C61A1" w:rsidP="005C61A1">
      <w:pPr>
        <w:numPr>
          <w:ilvl w:val="0"/>
          <w:numId w:val="5"/>
        </w:numPr>
        <w:tabs>
          <w:tab w:val="clear" w:pos="851"/>
          <w:tab w:val="num" w:pos="567"/>
          <w:tab w:val="num" w:pos="993"/>
        </w:tabs>
        <w:spacing w:after="240" w:line="240" w:lineRule="auto"/>
        <w:ind w:left="567" w:hanging="567"/>
        <w:jc w:val="both"/>
        <w:rPr>
          <w:rFonts w:ascii="Arial" w:eastAsia="新細明體" w:hAnsi="Arial" w:cs="Arial"/>
          <w:sz w:val="20"/>
          <w:szCs w:val="20"/>
        </w:rPr>
      </w:pPr>
      <w:r>
        <w:rPr>
          <w:rFonts w:ascii="Arial" w:eastAsia="新細明體" w:hAnsi="Arial" w:cs="Arial"/>
          <w:sz w:val="20"/>
          <w:szCs w:val="20"/>
        </w:rPr>
        <w:t xml:space="preserve">You have the right to request access to and correction of your Personal Data held by the SFC about you in accordance with the provisions of the PDPO.  Your right of access includes the right to request a copy of your Personal Data held by the SFC.  The SFC has the right to charge a fee for processing of any data access request. </w:t>
      </w:r>
    </w:p>
    <w:p w:rsidR="005C61A1" w:rsidRDefault="005C61A1" w:rsidP="005C61A1">
      <w:pPr>
        <w:spacing w:after="240" w:line="240" w:lineRule="auto"/>
        <w:jc w:val="both"/>
        <w:rPr>
          <w:rFonts w:ascii="Arial" w:eastAsia="新細明體" w:hAnsi="Arial" w:cs="Arial"/>
          <w:b/>
          <w:sz w:val="20"/>
          <w:szCs w:val="20"/>
        </w:rPr>
      </w:pPr>
      <w:r>
        <w:rPr>
          <w:rFonts w:ascii="Arial" w:eastAsia="新細明體" w:hAnsi="Arial" w:cs="Arial"/>
          <w:b/>
          <w:sz w:val="20"/>
          <w:szCs w:val="20"/>
        </w:rPr>
        <w:t xml:space="preserve">Enquiries </w:t>
      </w:r>
    </w:p>
    <w:p w:rsidR="005C61A1" w:rsidRDefault="005C61A1" w:rsidP="005C61A1">
      <w:pPr>
        <w:numPr>
          <w:ilvl w:val="0"/>
          <w:numId w:val="5"/>
        </w:numPr>
        <w:tabs>
          <w:tab w:val="clear" w:pos="851"/>
          <w:tab w:val="num" w:pos="567"/>
          <w:tab w:val="num" w:pos="993"/>
        </w:tabs>
        <w:spacing w:after="240" w:line="240" w:lineRule="auto"/>
        <w:ind w:left="567" w:hanging="567"/>
        <w:jc w:val="both"/>
        <w:rPr>
          <w:rFonts w:ascii="Arial" w:eastAsia="新細明體" w:hAnsi="Arial" w:cs="Arial"/>
          <w:sz w:val="20"/>
          <w:szCs w:val="20"/>
        </w:rPr>
      </w:pPr>
      <w:r>
        <w:rPr>
          <w:rFonts w:ascii="Arial" w:eastAsia="新細明體" w:hAnsi="Arial" w:cs="Arial"/>
          <w:sz w:val="20"/>
          <w:szCs w:val="20"/>
        </w:rPr>
        <w:t>Any enquiries regarding the Personal Data provided, or requests for access to Personal Data or correction of Personal Data, should be addressed in writing to:</w:t>
      </w:r>
    </w:p>
    <w:p w:rsidR="005C61A1" w:rsidRDefault="005C61A1" w:rsidP="005C61A1">
      <w:pPr>
        <w:spacing w:after="0" w:line="240" w:lineRule="exact"/>
        <w:ind w:left="567"/>
        <w:jc w:val="both"/>
        <w:rPr>
          <w:rFonts w:ascii="Arial" w:eastAsia="新細明體" w:hAnsi="Arial" w:cs="Arial"/>
          <w:sz w:val="20"/>
          <w:szCs w:val="20"/>
        </w:rPr>
      </w:pPr>
      <w:r>
        <w:rPr>
          <w:rFonts w:ascii="Arial" w:eastAsia="新細明體" w:hAnsi="Arial" w:cs="Arial"/>
          <w:sz w:val="20"/>
          <w:szCs w:val="20"/>
        </w:rPr>
        <w:t xml:space="preserve">The Data Privacy Officer </w:t>
      </w:r>
    </w:p>
    <w:p w:rsidR="005C61A1" w:rsidRDefault="005C61A1" w:rsidP="005C61A1">
      <w:pPr>
        <w:spacing w:after="0" w:line="240" w:lineRule="exact"/>
        <w:ind w:left="567"/>
        <w:jc w:val="both"/>
        <w:rPr>
          <w:rFonts w:ascii="Arial" w:eastAsia="新細明體" w:hAnsi="Arial" w:cs="Arial"/>
          <w:sz w:val="20"/>
          <w:szCs w:val="20"/>
        </w:rPr>
      </w:pPr>
      <w:r>
        <w:rPr>
          <w:rFonts w:ascii="Arial" w:eastAsia="新細明體" w:hAnsi="Arial" w:cs="Arial"/>
          <w:sz w:val="20"/>
          <w:szCs w:val="20"/>
        </w:rPr>
        <w:t xml:space="preserve">Securities and Futures Commission </w:t>
      </w:r>
    </w:p>
    <w:p w:rsidR="005C61A1" w:rsidRDefault="008372EA" w:rsidP="005C61A1">
      <w:pPr>
        <w:spacing w:after="0" w:line="240" w:lineRule="exact"/>
        <w:ind w:left="567"/>
        <w:jc w:val="both"/>
        <w:rPr>
          <w:rFonts w:ascii="Arial" w:eastAsia="新細明體" w:hAnsi="Arial" w:cs="Arial"/>
          <w:sz w:val="20"/>
          <w:szCs w:val="20"/>
        </w:rPr>
      </w:pPr>
      <w:r w:rsidRPr="008372EA">
        <w:rPr>
          <w:rFonts w:ascii="Arial" w:eastAsia="新細明體" w:hAnsi="Arial" w:cs="Arial"/>
          <w:sz w:val="20"/>
          <w:szCs w:val="20"/>
        </w:rPr>
        <w:t>54/F, One Island East</w:t>
      </w:r>
      <w:r w:rsidR="005C61A1">
        <w:rPr>
          <w:rFonts w:ascii="Arial" w:eastAsia="新細明體" w:hAnsi="Arial" w:cs="Arial"/>
          <w:sz w:val="20"/>
          <w:szCs w:val="20"/>
        </w:rPr>
        <w:t xml:space="preserve"> </w:t>
      </w:r>
    </w:p>
    <w:p w:rsidR="008E0FA4" w:rsidRDefault="008372EA" w:rsidP="005C61A1">
      <w:pPr>
        <w:spacing w:after="0" w:line="240" w:lineRule="exact"/>
        <w:ind w:left="567"/>
        <w:jc w:val="both"/>
        <w:rPr>
          <w:rFonts w:ascii="Arial" w:eastAsia="新細明體" w:hAnsi="Arial" w:cs="Arial"/>
          <w:sz w:val="20"/>
          <w:szCs w:val="20"/>
        </w:rPr>
      </w:pPr>
      <w:r w:rsidRPr="008372EA">
        <w:rPr>
          <w:rFonts w:ascii="Arial" w:eastAsia="新細明體" w:hAnsi="Arial" w:cs="Arial"/>
          <w:sz w:val="20"/>
          <w:szCs w:val="20"/>
        </w:rPr>
        <w:t>18 Westlands Road</w:t>
      </w:r>
      <w:bookmarkStart w:id="0" w:name="_GoBack"/>
      <w:bookmarkEnd w:id="0"/>
    </w:p>
    <w:p w:rsidR="005C61A1" w:rsidRDefault="008372EA" w:rsidP="005C61A1">
      <w:pPr>
        <w:spacing w:after="0" w:line="240" w:lineRule="exact"/>
        <w:ind w:left="567"/>
        <w:jc w:val="both"/>
        <w:rPr>
          <w:rFonts w:ascii="Arial" w:eastAsia="新細明體" w:hAnsi="Arial" w:cs="Arial"/>
          <w:sz w:val="20"/>
          <w:szCs w:val="20"/>
        </w:rPr>
      </w:pPr>
      <w:r w:rsidRPr="008372EA">
        <w:rPr>
          <w:rFonts w:ascii="Arial" w:eastAsia="新細明體" w:hAnsi="Arial" w:cs="Arial"/>
          <w:sz w:val="20"/>
          <w:szCs w:val="20"/>
        </w:rPr>
        <w:t>Quarry Bay, Hong Kong</w:t>
      </w:r>
      <w:r w:rsidR="005C61A1">
        <w:rPr>
          <w:rFonts w:ascii="Arial" w:eastAsia="新細明體" w:hAnsi="Arial" w:cs="Arial"/>
          <w:sz w:val="20"/>
          <w:szCs w:val="20"/>
        </w:rPr>
        <w:t xml:space="preserve"> </w:t>
      </w:r>
    </w:p>
    <w:p w:rsidR="005C61A1" w:rsidRDefault="005C61A1" w:rsidP="005C61A1">
      <w:pPr>
        <w:spacing w:after="240" w:line="240" w:lineRule="auto"/>
        <w:jc w:val="both"/>
        <w:rPr>
          <w:rFonts w:ascii="Arial" w:eastAsia="新細明體" w:hAnsi="Arial" w:cs="Arial"/>
          <w:sz w:val="20"/>
          <w:szCs w:val="20"/>
        </w:rPr>
      </w:pPr>
      <w:r>
        <w:rPr>
          <w:rFonts w:ascii="Arial" w:eastAsia="新細明體" w:hAnsi="Arial" w:cs="Arial"/>
          <w:sz w:val="20"/>
          <w:szCs w:val="20"/>
        </w:rPr>
        <w:br/>
        <w:t>A copy of the Privacy Policy Statement adopted by the SFC is available on the SFC’s website at www.sfc.hk.</w:t>
      </w:r>
    </w:p>
    <w:p w:rsidR="005C61A1" w:rsidRDefault="005C61A1" w:rsidP="005C61A1">
      <w:pPr>
        <w:spacing w:after="240" w:line="240" w:lineRule="auto"/>
        <w:jc w:val="both"/>
        <w:rPr>
          <w:rFonts w:ascii="Arial" w:eastAsia="新細明體" w:hAnsi="Arial" w:cs="Arial"/>
          <w:sz w:val="20"/>
          <w:szCs w:val="20"/>
        </w:rPr>
      </w:pPr>
    </w:p>
    <w:p w:rsidR="005C61A1" w:rsidRDefault="005C61A1" w:rsidP="005C61A1">
      <w:pPr>
        <w:spacing w:after="240" w:line="240" w:lineRule="auto"/>
        <w:jc w:val="right"/>
        <w:rPr>
          <w:rFonts w:ascii="Arial" w:eastAsia="新細明體" w:hAnsi="Arial" w:cs="Arial"/>
          <w:sz w:val="20"/>
          <w:szCs w:val="20"/>
        </w:rPr>
      </w:pPr>
      <w:r>
        <w:rPr>
          <w:rFonts w:ascii="Arial" w:eastAsia="新細明體" w:hAnsi="Arial" w:cs="Arial"/>
          <w:sz w:val="20"/>
          <w:szCs w:val="20"/>
        </w:rPr>
        <w:t>February 2018</w:t>
      </w:r>
    </w:p>
    <w:p w:rsidR="005C61A1" w:rsidRPr="006C357F" w:rsidRDefault="005C61A1" w:rsidP="005C61A1">
      <w:pPr>
        <w:rPr>
          <w:rFonts w:ascii="Arial" w:hAnsi="Arial" w:cs="Arial"/>
          <w:b/>
          <w:bCs/>
          <w:iCs/>
          <w:color w:val="000000"/>
          <w:sz w:val="24"/>
          <w:szCs w:val="24"/>
          <w:u w:val="single"/>
        </w:rPr>
      </w:pPr>
      <w:r w:rsidRPr="006C357F" w:rsidDel="002915A5">
        <w:rPr>
          <w:rFonts w:ascii="Arial" w:hAnsi="Arial" w:cs="Arial"/>
          <w:b/>
          <w:bCs/>
          <w:iCs/>
          <w:color w:val="000000"/>
          <w:sz w:val="24"/>
          <w:szCs w:val="24"/>
          <w:u w:val="single"/>
        </w:rPr>
        <w:t xml:space="preserve"> </w:t>
      </w:r>
    </w:p>
    <w:p w:rsidR="00451D4C" w:rsidRDefault="00451D4C" w:rsidP="005C61A1">
      <w:pPr>
        <w:spacing w:after="240" w:line="240" w:lineRule="auto"/>
        <w:jc w:val="both"/>
        <w:rPr>
          <w:rFonts w:ascii="Arial" w:hAnsi="Arial" w:cs="Arial"/>
          <w:b/>
          <w:bCs/>
          <w:iCs/>
          <w:color w:val="000000"/>
          <w:sz w:val="24"/>
          <w:szCs w:val="24"/>
          <w:u w:val="single"/>
        </w:rPr>
      </w:pPr>
    </w:p>
    <w:sectPr w:rsidR="00451D4C" w:rsidSect="00257CD1">
      <w:headerReference w:type="default" r:id="rId11"/>
      <w:footerReference w:type="default" r:id="rId12"/>
      <w:pgSz w:w="11906" w:h="16838"/>
      <w:pgMar w:top="1440" w:right="119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DEB" w:rsidRDefault="00B95DEB" w:rsidP="00B95DEB">
      <w:pPr>
        <w:spacing w:after="0" w:line="240" w:lineRule="auto"/>
      </w:pPr>
      <w:r>
        <w:separator/>
      </w:r>
    </w:p>
  </w:endnote>
  <w:endnote w:type="continuationSeparator" w:id="0">
    <w:p w:rsidR="00B95DEB" w:rsidRDefault="00B95DEB" w:rsidP="00B9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B42" w:rsidRDefault="006A7B42" w:rsidP="006A7B42">
    <w:pPr>
      <w:pStyle w:val="Footer"/>
      <w:rPr>
        <w:rFonts w:ascii="Arial" w:hAnsi="Arial" w:cs="Arial"/>
        <w:lang w:val="en-US"/>
      </w:rPr>
    </w:pPr>
  </w:p>
  <w:p w:rsidR="006A7B42" w:rsidRPr="000968FF" w:rsidRDefault="008D6DD2" w:rsidP="006A7B42">
    <w:pPr>
      <w:pStyle w:val="Footer"/>
      <w:rPr>
        <w:rFonts w:ascii="Arial" w:hAnsi="Arial" w:cs="Arial"/>
        <w:lang w:val="en-US"/>
      </w:rPr>
    </w:pPr>
    <w:r>
      <w:rPr>
        <w:rFonts w:ascii="Arial" w:hAnsi="Arial" w:cs="Arial"/>
        <w:lang w:val="en-US"/>
      </w:rPr>
      <w:t>Last update: 9 February 2018</w:t>
    </w:r>
  </w:p>
  <w:p w:rsidR="006A7B42" w:rsidRDefault="006A7B42">
    <w:pPr>
      <w:pStyle w:val="Footer"/>
    </w:pPr>
  </w:p>
  <w:p w:rsidR="006A7B42" w:rsidRDefault="006A7B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DEB" w:rsidRDefault="00B95DEB" w:rsidP="00B95DEB">
      <w:pPr>
        <w:spacing w:after="0" w:line="240" w:lineRule="auto"/>
      </w:pPr>
      <w:r>
        <w:separator/>
      </w:r>
    </w:p>
  </w:footnote>
  <w:footnote w:type="continuationSeparator" w:id="0">
    <w:p w:rsidR="00B95DEB" w:rsidRDefault="00B95DEB" w:rsidP="00B95DEB">
      <w:pPr>
        <w:spacing w:after="0" w:line="240" w:lineRule="auto"/>
      </w:pPr>
      <w:r>
        <w:continuationSeparator/>
      </w:r>
    </w:p>
  </w:footnote>
  <w:footnote w:id="1">
    <w:p w:rsidR="005C61A1" w:rsidRPr="0079411B" w:rsidRDefault="005C61A1" w:rsidP="005C61A1">
      <w:pPr>
        <w:pStyle w:val="FootnoteText"/>
        <w:jc w:val="both"/>
        <w:rPr>
          <w:rFonts w:cs="Arial"/>
          <w:sz w:val="16"/>
          <w:szCs w:val="16"/>
        </w:rPr>
      </w:pPr>
      <w:r w:rsidRPr="0079411B">
        <w:rPr>
          <w:rStyle w:val="FootnoteReference"/>
          <w:rFonts w:cs="Arial"/>
          <w:sz w:val="16"/>
          <w:szCs w:val="16"/>
        </w:rPr>
        <w:footnoteRef/>
      </w:r>
      <w:r w:rsidRPr="0079411B">
        <w:rPr>
          <w:rFonts w:cs="Arial"/>
          <w:sz w:val="16"/>
          <w:szCs w:val="16"/>
        </w:rPr>
        <w:t xml:space="preserve"> Personal Data means personal data as defined in the Personal Data (Privacy) Ordinance, Cap 486 (“</w:t>
      </w:r>
      <w:r w:rsidRPr="0079411B">
        <w:rPr>
          <w:rFonts w:cs="Arial"/>
          <w:b/>
          <w:sz w:val="16"/>
          <w:szCs w:val="16"/>
        </w:rPr>
        <w:t>PDPO</w:t>
      </w:r>
      <w:r w:rsidRPr="0079411B">
        <w:rPr>
          <w:rFonts w:cs="Arial"/>
          <w:sz w:val="16"/>
          <w:szCs w:val="16"/>
        </w:rPr>
        <w:t>”)</w:t>
      </w:r>
      <w:r>
        <w:rPr>
          <w:rFonts w:cs="Arial"/>
          <w:sz w:val="16"/>
          <w:szCs w:val="16"/>
        </w:rPr>
        <w:t>.</w:t>
      </w:r>
    </w:p>
  </w:footnote>
  <w:footnote w:id="2">
    <w:p w:rsidR="005C61A1" w:rsidRPr="0079411B" w:rsidRDefault="005C61A1" w:rsidP="005C61A1">
      <w:pPr>
        <w:pStyle w:val="FootnoteText"/>
        <w:jc w:val="both"/>
        <w:rPr>
          <w:rFonts w:cs="Arial"/>
          <w:sz w:val="16"/>
          <w:szCs w:val="16"/>
        </w:rPr>
      </w:pPr>
      <w:r w:rsidRPr="0079411B">
        <w:rPr>
          <w:rStyle w:val="FootnoteReference"/>
          <w:rFonts w:cs="Arial"/>
          <w:sz w:val="16"/>
          <w:szCs w:val="16"/>
        </w:rPr>
        <w:footnoteRef/>
      </w:r>
      <w:r w:rsidRPr="0079411B">
        <w:rPr>
          <w:rFonts w:cs="Arial"/>
          <w:sz w:val="16"/>
          <w:szCs w:val="16"/>
        </w:rPr>
        <w:t xml:space="preserve"> “</w:t>
      </w:r>
      <w:proofErr w:type="gramStart"/>
      <w:r w:rsidRPr="0079411B">
        <w:rPr>
          <w:rFonts w:cs="Arial"/>
          <w:sz w:val="16"/>
          <w:szCs w:val="16"/>
        </w:rPr>
        <w:t>matching</w:t>
      </w:r>
      <w:proofErr w:type="gramEnd"/>
      <w:r w:rsidRPr="0079411B">
        <w:rPr>
          <w:rFonts w:cs="Arial"/>
          <w:sz w:val="16"/>
          <w:szCs w:val="16"/>
        </w:rPr>
        <w:t xml:space="preserve"> procedure” is defined in section 2 of the PDPO.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8F5" w:rsidRPr="003A38F5" w:rsidRDefault="003A38F5" w:rsidP="003A38F5">
    <w:pPr>
      <w:pStyle w:val="Header"/>
      <w:jc w:val="right"/>
      <w:rPr>
        <w:rFonts w:ascii="Arial" w:hAnsi="Arial" w:cs="Arial"/>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47B05"/>
    <w:multiLevelType w:val="multilevel"/>
    <w:tmpl w:val="57FA6F26"/>
    <w:lvl w:ilvl="0">
      <w:start w:val="1"/>
      <w:numFmt w:val="decimal"/>
      <w:pStyle w:val="SFCLevel1BasicParagraph"/>
      <w:lvlText w:val="%1."/>
      <w:lvlJc w:val="left"/>
      <w:pPr>
        <w:tabs>
          <w:tab w:val="num" w:pos="851"/>
        </w:tabs>
        <w:ind w:left="851" w:hanging="851"/>
      </w:pPr>
      <w:rPr>
        <w:rFonts w:ascii="Arial" w:hAnsi="Arial" w:cs="Arial" w:hint="default"/>
        <w:color w:val="auto"/>
        <w:sz w:val="22"/>
      </w:rPr>
    </w:lvl>
    <w:lvl w:ilvl="1">
      <w:start w:val="1"/>
      <w:numFmt w:val="lowerLetter"/>
      <w:pStyle w:val="SFCLevel1Sub-Paragraph"/>
      <w:lvlText w:val="(%2)"/>
      <w:lvlJc w:val="left"/>
      <w:pPr>
        <w:tabs>
          <w:tab w:val="num" w:pos="1701"/>
        </w:tabs>
        <w:ind w:left="1701" w:hanging="850"/>
      </w:pPr>
      <w:rPr>
        <w:rFonts w:ascii="Arial" w:hAnsi="Arial" w:hint="default"/>
        <w:sz w:val="22"/>
      </w:rPr>
    </w:lvl>
    <w:lvl w:ilvl="2">
      <w:start w:val="1"/>
      <w:numFmt w:val="lowerRoman"/>
      <w:pStyle w:val="SFCLevel2Sub-Paragraph"/>
      <w:lvlText w:val="(%3)"/>
      <w:lvlJc w:val="left"/>
      <w:pPr>
        <w:tabs>
          <w:tab w:val="num" w:pos="2552"/>
        </w:tabs>
        <w:ind w:left="2552" w:hanging="851"/>
      </w:pPr>
      <w:rPr>
        <w:rFonts w:ascii="Arial" w:hAnsi="Arial" w:hint="default"/>
        <w:color w:val="auto"/>
        <w:sz w:val="22"/>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 w15:restartNumberingAfterBreak="0">
    <w:nsid w:val="416A3C75"/>
    <w:multiLevelType w:val="hybridMultilevel"/>
    <w:tmpl w:val="138AD886"/>
    <w:lvl w:ilvl="0" w:tplc="EBDAAC86">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510303"/>
    <w:multiLevelType w:val="hybridMultilevel"/>
    <w:tmpl w:val="72FA55F6"/>
    <w:lvl w:ilvl="0" w:tplc="EBDAAC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2E2561"/>
    <w:multiLevelType w:val="hybridMultilevel"/>
    <w:tmpl w:val="CB866046"/>
    <w:lvl w:ilvl="0" w:tplc="08090001">
      <w:start w:val="1"/>
      <w:numFmt w:val="bullet"/>
      <w:lvlText w:val=""/>
      <w:lvlJc w:val="left"/>
      <w:pPr>
        <w:ind w:left="984" w:hanging="360"/>
      </w:pPr>
      <w:rPr>
        <w:rFonts w:ascii="Symbol" w:hAnsi="Symbol" w:hint="default"/>
      </w:rPr>
    </w:lvl>
    <w:lvl w:ilvl="1" w:tplc="08090003">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 w15:restartNumberingAfterBreak="0">
    <w:nsid w:val="5F103552"/>
    <w:multiLevelType w:val="hybridMultilevel"/>
    <w:tmpl w:val="9C9C7D0A"/>
    <w:lvl w:ilvl="0" w:tplc="D67043C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B54FC7"/>
    <w:multiLevelType w:val="hybridMultilevel"/>
    <w:tmpl w:val="A44229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0"/>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3C1"/>
    <w:rsid w:val="00013A09"/>
    <w:rsid w:val="00076723"/>
    <w:rsid w:val="00080241"/>
    <w:rsid w:val="000A6B3F"/>
    <w:rsid w:val="000D00A9"/>
    <w:rsid w:val="000E3056"/>
    <w:rsid w:val="000F3C31"/>
    <w:rsid w:val="0013631F"/>
    <w:rsid w:val="00171100"/>
    <w:rsid w:val="001B5EFD"/>
    <w:rsid w:val="001C1A76"/>
    <w:rsid w:val="00227F8B"/>
    <w:rsid w:val="00245EA9"/>
    <w:rsid w:val="00252077"/>
    <w:rsid w:val="00257CD1"/>
    <w:rsid w:val="00261E99"/>
    <w:rsid w:val="002C6FB4"/>
    <w:rsid w:val="002D5CFE"/>
    <w:rsid w:val="00395FEF"/>
    <w:rsid w:val="003A38F5"/>
    <w:rsid w:val="003A5697"/>
    <w:rsid w:val="00431813"/>
    <w:rsid w:val="00451D4C"/>
    <w:rsid w:val="00456D05"/>
    <w:rsid w:val="004B33FF"/>
    <w:rsid w:val="00521B9E"/>
    <w:rsid w:val="00542A4C"/>
    <w:rsid w:val="0055257B"/>
    <w:rsid w:val="00567952"/>
    <w:rsid w:val="005C61A1"/>
    <w:rsid w:val="005C6403"/>
    <w:rsid w:val="005F3398"/>
    <w:rsid w:val="00610D64"/>
    <w:rsid w:val="00622BF6"/>
    <w:rsid w:val="00641004"/>
    <w:rsid w:val="00665027"/>
    <w:rsid w:val="00680862"/>
    <w:rsid w:val="006A7B42"/>
    <w:rsid w:val="006B57CD"/>
    <w:rsid w:val="006C357F"/>
    <w:rsid w:val="00724E6C"/>
    <w:rsid w:val="007319DC"/>
    <w:rsid w:val="007505EC"/>
    <w:rsid w:val="007623C1"/>
    <w:rsid w:val="007D7AA1"/>
    <w:rsid w:val="008372EA"/>
    <w:rsid w:val="008422E1"/>
    <w:rsid w:val="0085158E"/>
    <w:rsid w:val="008D6DD2"/>
    <w:rsid w:val="008E0FA4"/>
    <w:rsid w:val="008E7678"/>
    <w:rsid w:val="008F68D7"/>
    <w:rsid w:val="00904C25"/>
    <w:rsid w:val="009A0960"/>
    <w:rsid w:val="009A69D1"/>
    <w:rsid w:val="009E13C8"/>
    <w:rsid w:val="009E6E69"/>
    <w:rsid w:val="00AB13EA"/>
    <w:rsid w:val="00AB378C"/>
    <w:rsid w:val="00B03377"/>
    <w:rsid w:val="00B36F7C"/>
    <w:rsid w:val="00B7575F"/>
    <w:rsid w:val="00B95DEB"/>
    <w:rsid w:val="00C1195F"/>
    <w:rsid w:val="00C521E6"/>
    <w:rsid w:val="00C5719D"/>
    <w:rsid w:val="00C9785B"/>
    <w:rsid w:val="00CF41CC"/>
    <w:rsid w:val="00CF7548"/>
    <w:rsid w:val="00D23C6D"/>
    <w:rsid w:val="00D55B0E"/>
    <w:rsid w:val="00D754E6"/>
    <w:rsid w:val="00D84FA1"/>
    <w:rsid w:val="00DA139D"/>
    <w:rsid w:val="00DC518F"/>
    <w:rsid w:val="00E94B04"/>
    <w:rsid w:val="00F0694A"/>
    <w:rsid w:val="00F3182B"/>
    <w:rsid w:val="00F469F9"/>
    <w:rsid w:val="00F96DBF"/>
    <w:rsid w:val="00FA07C1"/>
    <w:rsid w:val="00FB1F71"/>
    <w:rsid w:val="00FD328D"/>
    <w:rsid w:val="00FE5BE5"/>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7D78318D-AA2A-497D-9451-A2589D54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23C1"/>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basedOn w:val="Normal"/>
    <w:qFormat/>
    <w:rsid w:val="00B95DEB"/>
    <w:pPr>
      <w:widowControl w:val="0"/>
      <w:spacing w:after="120" w:line="0" w:lineRule="atLeast"/>
    </w:pPr>
    <w:rPr>
      <w:rFonts w:ascii="Arial" w:eastAsia="新細明體" w:hAnsi="Arial" w:cs="Times New Roman"/>
      <w:kern w:val="2"/>
      <w:szCs w:val="20"/>
      <w:lang w:eastAsia="zh-TW"/>
    </w:rPr>
  </w:style>
  <w:style w:type="character" w:styleId="FootnoteReference">
    <w:name w:val="footnote reference"/>
    <w:uiPriority w:val="99"/>
    <w:unhideWhenUsed/>
    <w:rsid w:val="00B95DEB"/>
    <w:rPr>
      <w:vertAlign w:val="superscript"/>
    </w:rPr>
  </w:style>
  <w:style w:type="paragraph" w:styleId="Header">
    <w:name w:val="header"/>
    <w:basedOn w:val="Normal"/>
    <w:link w:val="HeaderChar"/>
    <w:uiPriority w:val="99"/>
    <w:unhideWhenUsed/>
    <w:rsid w:val="003A38F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38F5"/>
  </w:style>
  <w:style w:type="paragraph" w:styleId="Footer">
    <w:name w:val="footer"/>
    <w:basedOn w:val="Normal"/>
    <w:link w:val="FooterChar"/>
    <w:uiPriority w:val="99"/>
    <w:unhideWhenUsed/>
    <w:rsid w:val="003A38F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38F5"/>
  </w:style>
  <w:style w:type="paragraph" w:styleId="ListParagraph">
    <w:name w:val="List Paragraph"/>
    <w:basedOn w:val="Normal"/>
    <w:uiPriority w:val="34"/>
    <w:qFormat/>
    <w:rsid w:val="0055257B"/>
    <w:pPr>
      <w:ind w:left="720"/>
      <w:contextualSpacing/>
    </w:pPr>
  </w:style>
  <w:style w:type="paragraph" w:styleId="BalloonText">
    <w:name w:val="Balloon Text"/>
    <w:basedOn w:val="Normal"/>
    <w:link w:val="BalloonTextChar"/>
    <w:uiPriority w:val="99"/>
    <w:semiHidden/>
    <w:unhideWhenUsed/>
    <w:rsid w:val="00B36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F7C"/>
    <w:rPr>
      <w:rFonts w:ascii="Segoe UI" w:hAnsi="Segoe UI" w:cs="Segoe UI"/>
      <w:sz w:val="18"/>
      <w:szCs w:val="18"/>
    </w:rPr>
  </w:style>
  <w:style w:type="paragraph" w:styleId="Revision">
    <w:name w:val="Revision"/>
    <w:hidden/>
    <w:uiPriority w:val="99"/>
    <w:semiHidden/>
    <w:rsid w:val="00AB13EA"/>
    <w:pPr>
      <w:spacing w:after="0" w:line="240" w:lineRule="auto"/>
    </w:pPr>
  </w:style>
  <w:style w:type="table" w:styleId="TableGrid">
    <w:name w:val="Table Grid"/>
    <w:basedOn w:val="TableNormal"/>
    <w:uiPriority w:val="39"/>
    <w:rsid w:val="009E6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FCLevel2Sub-Paragraph">
    <w:name w:val="SFC Level_2 Sub-Paragraph"/>
    <w:basedOn w:val="Normal"/>
    <w:qFormat/>
    <w:rsid w:val="008D6DD2"/>
    <w:pPr>
      <w:numPr>
        <w:ilvl w:val="2"/>
        <w:numId w:val="5"/>
      </w:numPr>
      <w:spacing w:after="240" w:line="0" w:lineRule="atLeast"/>
    </w:pPr>
    <w:rPr>
      <w:rFonts w:ascii="Arial" w:eastAsia="新細明體" w:hAnsi="Arial" w:cs="Times New Roman"/>
      <w:szCs w:val="24"/>
      <w:lang w:eastAsia="zh-HK"/>
    </w:rPr>
  </w:style>
  <w:style w:type="paragraph" w:customStyle="1" w:styleId="SFCLevel1Sub-Paragraph">
    <w:name w:val="SFC Level_1 Sub-Paragraph"/>
    <w:basedOn w:val="Normal"/>
    <w:qFormat/>
    <w:rsid w:val="008D6DD2"/>
    <w:pPr>
      <w:numPr>
        <w:ilvl w:val="1"/>
        <w:numId w:val="5"/>
      </w:numPr>
      <w:spacing w:after="240" w:line="0" w:lineRule="atLeast"/>
    </w:pPr>
    <w:rPr>
      <w:rFonts w:ascii="Arial" w:eastAsia="新細明體" w:hAnsi="Arial" w:cs="Times New Roman"/>
      <w:szCs w:val="24"/>
      <w:lang w:eastAsia="zh-HK"/>
    </w:rPr>
  </w:style>
  <w:style w:type="paragraph" w:customStyle="1" w:styleId="SFCLevel1BasicParagraph">
    <w:name w:val="SFC Level 1 Basic Paragraph"/>
    <w:basedOn w:val="Normal"/>
    <w:qFormat/>
    <w:rsid w:val="008D6DD2"/>
    <w:pPr>
      <w:numPr>
        <w:numId w:val="5"/>
      </w:numPr>
      <w:spacing w:after="240" w:line="0" w:lineRule="atLeast"/>
    </w:pPr>
    <w:rPr>
      <w:rFonts w:ascii="Arial" w:eastAsia="新細明體" w:hAnsi="Arial" w:cs="Times New Roman"/>
      <w:szCs w:val="24"/>
      <w:lang w:eastAsia="zh-HK"/>
    </w:rPr>
  </w:style>
  <w:style w:type="paragraph" w:styleId="FootnoteText">
    <w:name w:val="footnote text"/>
    <w:basedOn w:val="Normal"/>
    <w:link w:val="FootnoteTextChar"/>
    <w:uiPriority w:val="99"/>
    <w:unhideWhenUsed/>
    <w:rsid w:val="008D6DD2"/>
    <w:pPr>
      <w:spacing w:after="0" w:line="240" w:lineRule="auto"/>
    </w:pPr>
    <w:rPr>
      <w:rFonts w:ascii="Arial" w:eastAsia="新細明體" w:hAnsi="Arial" w:cs="Times New Roman"/>
      <w:kern w:val="2"/>
      <w:sz w:val="20"/>
      <w:szCs w:val="20"/>
      <w:lang w:val="en-US" w:eastAsia="zh-TW"/>
    </w:rPr>
  </w:style>
  <w:style w:type="character" w:customStyle="1" w:styleId="FootnoteTextChar">
    <w:name w:val="Footnote Text Char"/>
    <w:basedOn w:val="DefaultParagraphFont"/>
    <w:link w:val="FootnoteText"/>
    <w:uiPriority w:val="99"/>
    <w:rsid w:val="008D6DD2"/>
    <w:rPr>
      <w:rFonts w:ascii="Arial" w:eastAsia="新細明體" w:hAnsi="Arial" w:cs="Times New Roman"/>
      <w:kern w:val="2"/>
      <w:sz w:val="20"/>
      <w:szCs w:val="2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A1FC240846954F918FB815737A0066" ma:contentTypeVersion="" ma:contentTypeDescription="Create a new document." ma:contentTypeScope="" ma:versionID="8694d3e2343f133a88610ddb8a19b0ae">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7756E-C993-453D-93BE-3A4642F284F5}">
  <ds:schemaRefs>
    <ds:schemaRef ds:uri="http://schemas.microsoft.com/sharepoint/v3/contenttype/forms"/>
  </ds:schemaRefs>
</ds:datastoreItem>
</file>

<file path=customXml/itemProps2.xml><?xml version="1.0" encoding="utf-8"?>
<ds:datastoreItem xmlns:ds="http://schemas.openxmlformats.org/officeDocument/2006/customXml" ds:itemID="{ACB0E036-AC32-444C-A68B-03CEEEACC64E}">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D7E8C526-65E5-4495-9BFD-F61C300A9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68A621E-9AB6-4D16-866C-7DA040DB1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dc:creator>
  <cp:keywords/>
  <dc:description/>
  <cp:lastModifiedBy>Cherie Tam</cp:lastModifiedBy>
  <cp:revision>5</cp:revision>
  <cp:lastPrinted>2018-02-06T07:45:00Z</cp:lastPrinted>
  <dcterms:created xsi:type="dcterms:W3CDTF">2018-02-07T09:16:00Z</dcterms:created>
  <dcterms:modified xsi:type="dcterms:W3CDTF">2020-07-02T10:19:00Z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0x010100C0A1FC240846954F918FB815737A0066</vt:lpwstr>
  </property>
</Properties>
</file>